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2CA" w:rsidRPr="00235498" w:rsidRDefault="00735D47" w:rsidP="00837792">
      <w:pPr>
        <w:spacing w:line="240" w:lineRule="auto"/>
        <w:contextualSpacing/>
        <w:jc w:val="center"/>
        <w:rPr>
          <w:rFonts w:ascii="Calibri" w:hAnsi="Calibri"/>
          <w:sz w:val="28"/>
          <w:szCs w:val="28"/>
        </w:rPr>
      </w:pPr>
      <w:r>
        <w:rPr>
          <w:rFonts w:ascii="Calibri" w:hAnsi="Calibri"/>
          <w:sz w:val="28"/>
          <w:szCs w:val="28"/>
        </w:rPr>
        <w:t>Pharmacy</w:t>
      </w:r>
    </w:p>
    <w:p w:rsidR="00837792" w:rsidRDefault="00837792" w:rsidP="00837792">
      <w:pPr>
        <w:spacing w:line="240" w:lineRule="auto"/>
        <w:contextualSpacing/>
        <w:jc w:val="center"/>
        <w:rPr>
          <w:rFonts w:ascii="Calibri" w:hAnsi="Calibri"/>
        </w:rPr>
      </w:pPr>
      <w:r>
        <w:rPr>
          <w:rFonts w:ascii="Calibri" w:hAnsi="Calibri"/>
        </w:rPr>
        <w:t>(</w:t>
      </w:r>
      <w:r w:rsidR="00735D47">
        <w:rPr>
          <w:rFonts w:ascii="Calibri" w:hAnsi="Calibri"/>
        </w:rPr>
        <w:t>Pharm.</w:t>
      </w:r>
      <w:r w:rsidR="00D03006">
        <w:rPr>
          <w:rFonts w:ascii="Calibri" w:hAnsi="Calibri"/>
        </w:rPr>
        <w:t>D.</w:t>
      </w:r>
      <w:r>
        <w:rPr>
          <w:rFonts w:ascii="Calibri" w:hAnsi="Calibri"/>
        </w:rPr>
        <w:t>)</w:t>
      </w:r>
    </w:p>
    <w:p w:rsidR="00B331D0" w:rsidRDefault="00B331D0" w:rsidP="00837792">
      <w:pPr>
        <w:spacing w:line="240" w:lineRule="auto"/>
        <w:contextualSpacing/>
        <w:jc w:val="center"/>
        <w:rPr>
          <w:rFonts w:ascii="Calibri" w:hAnsi="Calibri"/>
        </w:rPr>
      </w:pPr>
    </w:p>
    <w:p w:rsidR="00483CBC" w:rsidRDefault="00483CBC" w:rsidP="00837792">
      <w:pPr>
        <w:spacing w:line="240" w:lineRule="auto"/>
        <w:contextualSpacing/>
        <w:rPr>
          <w:rFonts w:ascii="Calibri" w:hAnsi="Calibri"/>
        </w:rPr>
      </w:pPr>
      <w:r>
        <w:rPr>
          <w:rFonts w:ascii="Calibri" w:hAnsi="Calibri"/>
        </w:rPr>
        <w:t>Pharmacy</w:t>
      </w:r>
      <w:r w:rsidR="00E57AF7">
        <w:rPr>
          <w:rFonts w:ascii="Calibri" w:hAnsi="Calibri"/>
        </w:rPr>
        <w:t xml:space="preserve"> is an attractive spe</w:t>
      </w:r>
      <w:r>
        <w:rPr>
          <w:rFonts w:ascii="Calibri" w:hAnsi="Calibri"/>
        </w:rPr>
        <w:t xml:space="preserve">cialty in the Health sciences.  Contemporary Pharmacy is incredibly dversified, with Pharm.D.s working in a </w:t>
      </w:r>
      <w:r w:rsidR="00E57AF7">
        <w:rPr>
          <w:rFonts w:ascii="Calibri" w:hAnsi="Calibri"/>
        </w:rPr>
        <w:t xml:space="preserve">variety of environments (industry, private practice, </w:t>
      </w:r>
      <w:r>
        <w:rPr>
          <w:rFonts w:ascii="Calibri" w:hAnsi="Calibri"/>
        </w:rPr>
        <w:t xml:space="preserve">retail, hospitals, </w:t>
      </w:r>
      <w:r w:rsidR="00E57AF7">
        <w:rPr>
          <w:rFonts w:ascii="Calibri" w:hAnsi="Calibri"/>
        </w:rPr>
        <w:t>etc…) and the quality of life is often considered to be more flexible and family-friendly than others professions in the Health sciences</w:t>
      </w:r>
      <w:r w:rsidR="00422E0D">
        <w:rPr>
          <w:rFonts w:ascii="Calibri" w:hAnsi="Calibri"/>
        </w:rPr>
        <w:t xml:space="preserve">; part-time </w:t>
      </w:r>
      <w:r>
        <w:rPr>
          <w:rFonts w:ascii="Calibri" w:hAnsi="Calibri"/>
        </w:rPr>
        <w:t>and contract Pharmacist</w:t>
      </w:r>
      <w:r w:rsidR="00422E0D">
        <w:rPr>
          <w:rFonts w:ascii="Calibri" w:hAnsi="Calibri"/>
        </w:rPr>
        <w:t>s are common</w:t>
      </w:r>
      <w:r w:rsidR="00E57AF7">
        <w:rPr>
          <w:rFonts w:ascii="Calibri" w:hAnsi="Calibri"/>
        </w:rPr>
        <w:t xml:space="preserve">.  </w:t>
      </w:r>
    </w:p>
    <w:p w:rsidR="00483CBC" w:rsidRDefault="00483CBC" w:rsidP="00837792">
      <w:pPr>
        <w:spacing w:line="240" w:lineRule="auto"/>
        <w:contextualSpacing/>
        <w:rPr>
          <w:rFonts w:ascii="Calibri" w:hAnsi="Calibri"/>
        </w:rPr>
      </w:pPr>
      <w:r>
        <w:rPr>
          <w:rFonts w:ascii="Calibri" w:hAnsi="Calibri"/>
        </w:rPr>
        <w:t xml:space="preserve">Unlike many other areas in Healthcare, education in Pharmacy has undergone a dramatic shift in structure in in the past 15 years. </w:t>
      </w:r>
      <w:r w:rsidR="006C0008">
        <w:rPr>
          <w:rFonts w:ascii="Calibri" w:hAnsi="Calibri"/>
        </w:rPr>
        <w:t>Prior, undergraduate students often fulfilled basic science and humanities requirements in 2 or 3 years and entered various degree-awarding programs leading to the credential associated with “Pharmacist”.  Now, the majority of programs require a B.A. or B.S. (typically acquired in 4 years); program now nearly uniformly award a Pharm.D. as the terminal degree.  This schedule, along with pre-requisites, more closely aligns with those of other Healthcare-related degrees (e.g. M.D., D.O.) than ever before.</w:t>
      </w:r>
    </w:p>
    <w:p w:rsidR="00095B26" w:rsidRDefault="00095B26" w:rsidP="00837792">
      <w:pPr>
        <w:spacing w:line="240" w:lineRule="auto"/>
        <w:contextualSpacing/>
        <w:rPr>
          <w:rFonts w:ascii="Calibri" w:hAnsi="Calibri"/>
        </w:rPr>
      </w:pPr>
    </w:p>
    <w:p w:rsidR="00D41A05" w:rsidRDefault="00095B26" w:rsidP="00837792">
      <w:pPr>
        <w:spacing w:line="240" w:lineRule="auto"/>
        <w:contextualSpacing/>
        <w:rPr>
          <w:rFonts w:ascii="Calibri" w:hAnsi="Calibri"/>
        </w:rPr>
      </w:pPr>
      <w:r>
        <w:rPr>
          <w:rFonts w:ascii="Calibri" w:hAnsi="Calibri"/>
        </w:rPr>
        <w:t xml:space="preserve">In the U.S., </w:t>
      </w:r>
      <w:r w:rsidR="006C0008">
        <w:rPr>
          <w:rFonts w:ascii="Calibri" w:hAnsi="Calibri"/>
        </w:rPr>
        <w:t xml:space="preserve">there are 134 schools of Pharmacy; </w:t>
      </w:r>
      <w:r w:rsidR="00E147AA">
        <w:rPr>
          <w:rFonts w:ascii="Calibri" w:hAnsi="Calibri"/>
        </w:rPr>
        <w:t xml:space="preserve">with </w:t>
      </w:r>
      <w:r w:rsidR="0078766A">
        <w:rPr>
          <w:rFonts w:ascii="Calibri" w:hAnsi="Calibri"/>
        </w:rPr>
        <w:t>4</w:t>
      </w:r>
      <w:r w:rsidR="00E147AA">
        <w:rPr>
          <w:rFonts w:ascii="Calibri" w:hAnsi="Calibri"/>
        </w:rPr>
        <w:t xml:space="preserve"> in Georgia</w:t>
      </w:r>
      <w:r w:rsidR="0078766A">
        <w:rPr>
          <w:rFonts w:ascii="Calibri" w:hAnsi="Calibri"/>
        </w:rPr>
        <w:t xml:space="preserve"> (including 2 having only recently opened their doors)</w:t>
      </w:r>
      <w:r w:rsidR="00E147AA">
        <w:rPr>
          <w:rFonts w:ascii="Calibri" w:hAnsi="Calibri"/>
        </w:rPr>
        <w:t>.  There are a</w:t>
      </w:r>
      <w:r>
        <w:rPr>
          <w:rFonts w:ascii="Calibri" w:hAnsi="Calibri"/>
        </w:rPr>
        <w:t xml:space="preserve">pproximately </w:t>
      </w:r>
      <w:r w:rsidR="00E147AA">
        <w:rPr>
          <w:rFonts w:ascii="Calibri" w:hAnsi="Calibri"/>
        </w:rPr>
        <w:t xml:space="preserve">17,000 applications for about 14,000 seats, for a comparatively high about 80% annual acceptance rate.  The Pharm.D. is a degree with a significant </w:t>
      </w:r>
      <w:r w:rsidR="00E147AA" w:rsidRPr="00E147AA">
        <w:rPr>
          <w:rFonts w:ascii="Calibri" w:hAnsi="Calibri"/>
        </w:rPr>
        <w:t xml:space="preserve">clinical </w:t>
      </w:r>
      <w:r w:rsidR="00E147AA">
        <w:rPr>
          <w:rFonts w:ascii="Calibri" w:hAnsi="Calibri"/>
        </w:rPr>
        <w:t xml:space="preserve">component; it is a </w:t>
      </w:r>
      <w:r w:rsidR="00E147AA" w:rsidRPr="00E147AA">
        <w:rPr>
          <w:rFonts w:ascii="Calibri" w:hAnsi="Calibri"/>
          <w:i/>
        </w:rPr>
        <w:t>clinical</w:t>
      </w:r>
      <w:r w:rsidR="00E147AA">
        <w:rPr>
          <w:rFonts w:ascii="Calibri" w:hAnsi="Calibri"/>
        </w:rPr>
        <w:t xml:space="preserve"> </w:t>
      </w:r>
      <w:r w:rsidR="00E147AA" w:rsidRPr="00E147AA">
        <w:rPr>
          <w:rFonts w:ascii="Calibri" w:hAnsi="Calibri"/>
        </w:rPr>
        <w:t>degree</w:t>
      </w:r>
      <w:r w:rsidR="00E147AA">
        <w:rPr>
          <w:rFonts w:ascii="Calibri" w:hAnsi="Calibri"/>
        </w:rPr>
        <w:t xml:space="preserve">.  In addition to about 14,000 new Pharmacy students each year, there are about 6,000 new Ph.D. students in Pharmacology; a </w:t>
      </w:r>
      <w:r w:rsidR="00E147AA">
        <w:rPr>
          <w:rFonts w:ascii="Calibri" w:hAnsi="Calibri"/>
          <w:i/>
        </w:rPr>
        <w:t>research</w:t>
      </w:r>
      <w:r w:rsidR="00E147AA">
        <w:rPr>
          <w:rFonts w:ascii="Calibri" w:hAnsi="Calibri"/>
        </w:rPr>
        <w:t xml:space="preserve">-focused degree. </w:t>
      </w:r>
      <w:r w:rsidR="00D41A05">
        <w:rPr>
          <w:rFonts w:ascii="Calibri" w:hAnsi="Calibri"/>
        </w:rPr>
        <w:t xml:space="preserve"> </w:t>
      </w:r>
    </w:p>
    <w:p w:rsidR="00D41A05" w:rsidRDefault="00D41A05" w:rsidP="00837792">
      <w:pPr>
        <w:spacing w:line="240" w:lineRule="auto"/>
        <w:contextualSpacing/>
        <w:rPr>
          <w:rFonts w:ascii="Calibri" w:hAnsi="Calibri"/>
        </w:rPr>
      </w:pPr>
    </w:p>
    <w:p w:rsidR="00F44C4E" w:rsidRPr="00F44C4E" w:rsidRDefault="00D41A05" w:rsidP="00837792">
      <w:pPr>
        <w:spacing w:line="240" w:lineRule="auto"/>
        <w:contextualSpacing/>
        <w:rPr>
          <w:rFonts w:cstheme="minorHAnsi"/>
          <w:color w:val="222222"/>
          <w:shd w:val="clear" w:color="auto" w:fill="FFFFFF"/>
        </w:rPr>
      </w:pPr>
      <w:r w:rsidRPr="00F44C4E">
        <w:rPr>
          <w:rFonts w:cstheme="minorHAnsi"/>
        </w:rPr>
        <w:t>Pharmacists form perhaps the largest discrepancy between supply (new Pharm.D.s) and demand (meaningful work placement upon graduation)</w:t>
      </w:r>
      <w:r w:rsidR="00981043">
        <w:rPr>
          <w:rFonts w:cstheme="minorHAnsi"/>
        </w:rPr>
        <w:t xml:space="preserve"> in h</w:t>
      </w:r>
      <w:r w:rsidRPr="00F44C4E">
        <w:rPr>
          <w:rFonts w:cstheme="minorHAnsi"/>
        </w:rPr>
        <w:t xml:space="preserve">ealthcare going forward.  In other words, the career outlook for Pharmacists is excellent.  </w:t>
      </w:r>
      <w:r w:rsidR="00F44C4E" w:rsidRPr="00F44C4E">
        <w:rPr>
          <w:rFonts w:cstheme="minorHAnsi"/>
          <w:color w:val="222222"/>
          <w:shd w:val="clear" w:color="auto" w:fill="FFFFFF"/>
        </w:rPr>
        <w:t>In 2015, full-time pharmacists made between </w:t>
      </w:r>
      <w:r w:rsidR="00F44C4E" w:rsidRPr="00F44C4E">
        <w:rPr>
          <w:rFonts w:cstheme="minorHAnsi"/>
          <w:bCs/>
          <w:color w:val="222222"/>
          <w:shd w:val="clear" w:color="auto" w:fill="FFFFFF"/>
        </w:rPr>
        <w:t>$90,000</w:t>
      </w:r>
      <w:r w:rsidR="00F44C4E" w:rsidRPr="00F44C4E">
        <w:rPr>
          <w:rFonts w:cstheme="minorHAnsi"/>
          <w:color w:val="222222"/>
          <w:shd w:val="clear" w:color="auto" w:fill="FFFFFF"/>
        </w:rPr>
        <w:t> and </w:t>
      </w:r>
      <w:r w:rsidR="00F44C4E" w:rsidRPr="00F44C4E">
        <w:rPr>
          <w:rFonts w:cstheme="minorHAnsi"/>
          <w:bCs/>
          <w:color w:val="222222"/>
          <w:shd w:val="clear" w:color="auto" w:fill="FFFFFF"/>
        </w:rPr>
        <w:t>$140,000 a year</w:t>
      </w:r>
      <w:r w:rsidR="00F44C4E" w:rsidRPr="00F44C4E">
        <w:rPr>
          <w:rFonts w:cstheme="minorHAnsi"/>
          <w:color w:val="222222"/>
          <w:shd w:val="clear" w:color="auto" w:fill="FFFFFF"/>
        </w:rPr>
        <w:t>, with the average annual salary coming in between </w:t>
      </w:r>
      <w:r w:rsidR="00F44C4E" w:rsidRPr="00F44C4E">
        <w:rPr>
          <w:rFonts w:cstheme="minorHAnsi"/>
          <w:bCs/>
          <w:color w:val="222222"/>
          <w:shd w:val="clear" w:color="auto" w:fill="FFFFFF"/>
        </w:rPr>
        <w:t>$112,000</w:t>
      </w:r>
      <w:r w:rsidR="00F44C4E" w:rsidRPr="00F44C4E">
        <w:rPr>
          <w:rFonts w:cstheme="minorHAnsi"/>
          <w:color w:val="222222"/>
          <w:shd w:val="clear" w:color="auto" w:fill="FFFFFF"/>
        </w:rPr>
        <w:t> and </w:t>
      </w:r>
      <w:r w:rsidR="00F44C4E" w:rsidRPr="00F44C4E">
        <w:rPr>
          <w:rFonts w:cstheme="minorHAnsi"/>
          <w:bCs/>
          <w:color w:val="222222"/>
          <w:shd w:val="clear" w:color="auto" w:fill="FFFFFF"/>
        </w:rPr>
        <w:t>$119,000</w:t>
      </w:r>
      <w:r w:rsidR="00F44C4E" w:rsidRPr="00F44C4E">
        <w:rPr>
          <w:rFonts w:cstheme="minorHAnsi"/>
          <w:color w:val="222222"/>
          <w:shd w:val="clear" w:color="auto" w:fill="FFFFFF"/>
        </w:rPr>
        <w:t>, depending on the data source. </w:t>
      </w:r>
    </w:p>
    <w:p w:rsidR="00F44C4E" w:rsidRPr="00F44C4E" w:rsidRDefault="004A11E3" w:rsidP="00837792">
      <w:pPr>
        <w:spacing w:line="240" w:lineRule="auto"/>
        <w:contextualSpacing/>
        <w:rPr>
          <w:rFonts w:cstheme="minorHAnsi"/>
          <w:color w:val="222222"/>
          <w:shd w:val="clear" w:color="auto" w:fill="FFFFFF"/>
        </w:rPr>
      </w:pPr>
      <w:r>
        <w:rPr>
          <w:rFonts w:cstheme="minorHAnsi"/>
          <w:color w:val="222222"/>
          <w:shd w:val="clear" w:color="auto" w:fill="FFFFFF"/>
        </w:rPr>
        <w:t>In 2013</w:t>
      </w:r>
      <w:r w:rsidR="00F44C4E" w:rsidRPr="00F44C4E">
        <w:rPr>
          <w:rFonts w:cstheme="minorHAnsi"/>
          <w:color w:val="222222"/>
          <w:shd w:val="clear" w:color="auto" w:fill="FFFFFF"/>
        </w:rPr>
        <w:t xml:space="preserve">, graduates entering the workforce </w:t>
      </w:r>
      <w:r>
        <w:rPr>
          <w:rFonts w:cstheme="minorHAnsi"/>
          <w:color w:val="222222"/>
          <w:shd w:val="clear" w:color="auto" w:fill="FFFFFF"/>
        </w:rPr>
        <w:t xml:space="preserve">reported a median </w:t>
      </w:r>
      <w:r w:rsidR="00F44C4E" w:rsidRPr="00F44C4E">
        <w:rPr>
          <w:rFonts w:cstheme="minorHAnsi"/>
          <w:bCs/>
          <w:color w:val="222222"/>
          <w:shd w:val="clear" w:color="auto" w:fill="FFFFFF"/>
        </w:rPr>
        <w:t>loan debt</w:t>
      </w:r>
      <w:r w:rsidR="00F44C4E" w:rsidRPr="00F44C4E">
        <w:rPr>
          <w:rFonts w:cstheme="minorHAnsi"/>
          <w:color w:val="222222"/>
          <w:shd w:val="clear" w:color="auto" w:fill="FFFFFF"/>
        </w:rPr>
        <w:t> of</w:t>
      </w:r>
      <w:r w:rsidR="00981043">
        <w:rPr>
          <w:rFonts w:cstheme="minorHAnsi"/>
          <w:color w:val="222222"/>
          <w:shd w:val="clear" w:color="auto" w:fill="FFFFFF"/>
        </w:rPr>
        <w:t xml:space="preserve"> </w:t>
      </w:r>
      <w:r w:rsidR="00F44C4E" w:rsidRPr="00F44C4E">
        <w:rPr>
          <w:rFonts w:cstheme="minorHAnsi"/>
          <w:bCs/>
          <w:color w:val="222222"/>
          <w:shd w:val="clear" w:color="auto" w:fill="FFFFFF"/>
        </w:rPr>
        <w:t>$</w:t>
      </w:r>
      <w:r>
        <w:rPr>
          <w:rFonts w:cstheme="minorHAnsi"/>
          <w:bCs/>
          <w:color w:val="222222"/>
          <w:shd w:val="clear" w:color="auto" w:fill="FFFFFF"/>
        </w:rPr>
        <w:t>152,000 for private programs and $114,000 for public</w:t>
      </w:r>
      <w:r w:rsidR="00F44C4E" w:rsidRPr="00F44C4E">
        <w:rPr>
          <w:rFonts w:cstheme="minorHAnsi"/>
          <w:color w:val="222222"/>
          <w:shd w:val="clear" w:color="auto" w:fill="FFFFFF"/>
        </w:rPr>
        <w:t xml:space="preserve">. Luckily for pharmacists, if they enter the private sector, they will likely make a salary that allows them to responsibly pay that large </w:t>
      </w:r>
      <w:r w:rsidR="00981043">
        <w:rPr>
          <w:rFonts w:cstheme="minorHAnsi"/>
          <w:color w:val="222222"/>
          <w:shd w:val="clear" w:color="auto" w:fill="FFFFFF"/>
        </w:rPr>
        <w:t>amount back.</w:t>
      </w:r>
    </w:p>
    <w:p w:rsidR="00B65CDE" w:rsidRPr="00F44C4E" w:rsidRDefault="00F44C4E" w:rsidP="00837792">
      <w:pPr>
        <w:spacing w:line="240" w:lineRule="auto"/>
        <w:contextualSpacing/>
        <w:rPr>
          <w:rFonts w:cstheme="minorHAnsi"/>
        </w:rPr>
      </w:pPr>
      <w:r w:rsidRPr="00F44C4E">
        <w:rPr>
          <w:rFonts w:cstheme="minorHAnsi"/>
        </w:rPr>
        <w:t xml:space="preserve"> </w:t>
      </w:r>
    </w:p>
    <w:p w:rsidR="0005136E" w:rsidRPr="009C19C1" w:rsidRDefault="00631977" w:rsidP="00970873">
      <w:pPr>
        <w:spacing w:line="240" w:lineRule="auto"/>
        <w:ind w:left="360"/>
        <w:contextualSpacing/>
        <w:rPr>
          <w:rFonts w:cstheme="minorHAnsi"/>
        </w:rPr>
      </w:pPr>
      <w:r w:rsidRPr="00F44C4E">
        <w:rPr>
          <w:rFonts w:cstheme="minorHAnsi"/>
          <w:b/>
        </w:rPr>
        <w:t xml:space="preserve">Doctor of </w:t>
      </w:r>
      <w:r w:rsidR="004E2827">
        <w:rPr>
          <w:rFonts w:cstheme="minorHAnsi"/>
          <w:b/>
        </w:rPr>
        <w:t>Pharmacy</w:t>
      </w:r>
      <w:r w:rsidR="00E9184A" w:rsidRPr="00F44C4E">
        <w:rPr>
          <w:rFonts w:cstheme="minorHAnsi"/>
          <w:b/>
        </w:rPr>
        <w:t xml:space="preserve"> (</w:t>
      </w:r>
      <w:r w:rsidR="004E2827">
        <w:rPr>
          <w:rFonts w:cstheme="minorHAnsi"/>
          <w:b/>
        </w:rPr>
        <w:t>Pharm.D</w:t>
      </w:r>
      <w:r w:rsidRPr="00F44C4E">
        <w:rPr>
          <w:rFonts w:cstheme="minorHAnsi"/>
          <w:b/>
        </w:rPr>
        <w:t>.)</w:t>
      </w:r>
      <w:r w:rsidR="00FB06C9" w:rsidRPr="00F44C4E">
        <w:rPr>
          <w:rFonts w:cstheme="minorHAnsi"/>
          <w:b/>
        </w:rPr>
        <w:t>:</w:t>
      </w:r>
      <w:r w:rsidR="00FB06C9" w:rsidRPr="00F44C4E">
        <w:rPr>
          <w:rFonts w:cstheme="minorHAnsi"/>
          <w:shd w:val="clear" w:color="auto" w:fill="FFFFFF"/>
        </w:rPr>
        <w:t xml:space="preserve">  </w:t>
      </w:r>
      <w:r w:rsidR="00CD00F1">
        <w:rPr>
          <w:rFonts w:cstheme="minorHAnsi"/>
          <w:shd w:val="clear" w:color="auto" w:fill="FFFFFF"/>
        </w:rPr>
        <w:t>Domestically there are 134</w:t>
      </w:r>
      <w:r w:rsidR="00FB06C9" w:rsidRPr="00F44C4E">
        <w:rPr>
          <w:rFonts w:cstheme="minorHAnsi"/>
          <w:shd w:val="clear" w:color="auto" w:fill="FFFFFF"/>
        </w:rPr>
        <w:t xml:space="preserve"> schools internationally awarding the </w:t>
      </w:r>
      <w:r w:rsidR="00CD00F1">
        <w:rPr>
          <w:rFonts w:cstheme="minorHAnsi"/>
          <w:shd w:val="clear" w:color="auto" w:fill="FFFFFF"/>
        </w:rPr>
        <w:t>Pharm.</w:t>
      </w:r>
      <w:r w:rsidR="00FB06C9" w:rsidRPr="00F44C4E">
        <w:rPr>
          <w:rFonts w:cstheme="minorHAnsi"/>
          <w:shd w:val="clear" w:color="auto" w:fill="FFFFFF"/>
        </w:rPr>
        <w:t xml:space="preserve">D. </w:t>
      </w:r>
      <w:r w:rsidR="00D802CB">
        <w:rPr>
          <w:rFonts w:cstheme="minorHAnsi"/>
          <w:shd w:val="clear" w:color="auto" w:fill="FFFFFF"/>
        </w:rPr>
        <w:t>c</w:t>
      </w:r>
      <w:r w:rsidR="00D802CB" w:rsidRPr="00F44C4E">
        <w:rPr>
          <w:rFonts w:cstheme="minorHAnsi"/>
          <w:shd w:val="clear" w:color="auto" w:fill="FFFFFF"/>
        </w:rPr>
        <w:t>redential</w:t>
      </w:r>
      <w:r w:rsidR="00FB06C9" w:rsidRPr="00F44C4E">
        <w:rPr>
          <w:rFonts w:cstheme="minorHAnsi"/>
          <w:shd w:val="clear" w:color="auto" w:fill="FFFFFF"/>
        </w:rPr>
        <w:t xml:space="preserve">.  </w:t>
      </w:r>
    </w:p>
    <w:p w:rsidR="009C19C1" w:rsidRDefault="009C19C1" w:rsidP="00970873">
      <w:pPr>
        <w:spacing w:line="240" w:lineRule="auto"/>
        <w:ind w:left="360"/>
        <w:contextualSpacing/>
        <w:rPr>
          <w:rFonts w:ascii="Calibri" w:hAnsi="Calibri"/>
        </w:rPr>
      </w:pPr>
    </w:p>
    <w:p w:rsidR="0005136E" w:rsidRPr="006144A6" w:rsidRDefault="004A11E3" w:rsidP="00837792">
      <w:pPr>
        <w:spacing w:line="240" w:lineRule="auto"/>
        <w:contextualSpacing/>
        <w:rPr>
          <w:rFonts w:cstheme="minorHAnsi"/>
        </w:rPr>
      </w:pPr>
      <w:r>
        <w:rPr>
          <w:rFonts w:ascii="Calibri" w:hAnsi="Calibri"/>
          <w:b/>
        </w:rPr>
        <w:t>Pharmacy</w:t>
      </w:r>
      <w:r w:rsidR="0005136E" w:rsidRPr="0005136E">
        <w:rPr>
          <w:rFonts w:ascii="Calibri" w:hAnsi="Calibri"/>
          <w:b/>
        </w:rPr>
        <w:t xml:space="preserve"> </w:t>
      </w:r>
      <w:r w:rsidR="0005136E" w:rsidRPr="006144A6">
        <w:rPr>
          <w:rFonts w:cstheme="minorHAnsi"/>
          <w:b/>
        </w:rPr>
        <w:t>costs</w:t>
      </w:r>
      <w:r w:rsidR="0005136E" w:rsidRPr="006144A6">
        <w:rPr>
          <w:rFonts w:cstheme="minorHAnsi"/>
        </w:rPr>
        <w:t xml:space="preserve">: Cost for attending </w:t>
      </w:r>
      <w:r w:rsidR="00D802CB">
        <w:rPr>
          <w:rFonts w:cstheme="minorHAnsi"/>
        </w:rPr>
        <w:t>Pharmacy</w:t>
      </w:r>
      <w:r w:rsidR="0005136E" w:rsidRPr="006144A6">
        <w:rPr>
          <w:rFonts w:cstheme="minorHAnsi"/>
        </w:rPr>
        <w:t xml:space="preserve"> school range widely.  </w:t>
      </w:r>
      <w:r w:rsidR="009F7EAA">
        <w:rPr>
          <w:rFonts w:cstheme="minorHAnsi"/>
        </w:rPr>
        <w:t xml:space="preserve">The latest information for Georgia’s </w:t>
      </w:r>
      <w:r w:rsidR="00D802CB">
        <w:rPr>
          <w:rFonts w:cstheme="minorHAnsi"/>
        </w:rPr>
        <w:t>programs</w:t>
      </w:r>
      <w:r w:rsidR="009F7EAA">
        <w:rPr>
          <w:rFonts w:cstheme="minorHAnsi"/>
        </w:rPr>
        <w:t xml:space="preserve"> </w:t>
      </w:r>
      <w:r w:rsidR="0078766A">
        <w:rPr>
          <w:rFonts w:cstheme="minorHAnsi"/>
        </w:rPr>
        <w:t>for in-state students cite a total costs ranging from $20</w:t>
      </w:r>
      <w:r w:rsidR="009F7EAA">
        <w:rPr>
          <w:rFonts w:cstheme="minorHAnsi"/>
        </w:rPr>
        <w:t>,000 per year</w:t>
      </w:r>
      <w:r w:rsidR="0078766A">
        <w:rPr>
          <w:rFonts w:cstheme="minorHAnsi"/>
        </w:rPr>
        <w:t xml:space="preserve"> (UGA) to </w:t>
      </w:r>
      <w:r w:rsidR="00AF26BB">
        <w:rPr>
          <w:rFonts w:cstheme="minorHAnsi"/>
        </w:rPr>
        <w:t xml:space="preserve">South Georgia at </w:t>
      </w:r>
      <w:r w:rsidR="0078766A">
        <w:rPr>
          <w:rFonts w:cstheme="minorHAnsi"/>
        </w:rPr>
        <w:t>$</w:t>
      </w:r>
      <w:r w:rsidR="009F7EAA">
        <w:rPr>
          <w:rFonts w:cstheme="minorHAnsi"/>
        </w:rPr>
        <w:t>5</w:t>
      </w:r>
      <w:r w:rsidR="0078766A">
        <w:rPr>
          <w:rFonts w:cstheme="minorHAnsi"/>
        </w:rPr>
        <w:t>0</w:t>
      </w:r>
      <w:r w:rsidR="009F7EAA">
        <w:rPr>
          <w:rFonts w:cstheme="minorHAnsi"/>
        </w:rPr>
        <w:t>,000</w:t>
      </w:r>
      <w:r w:rsidR="00EB11E3">
        <w:rPr>
          <w:rFonts w:cstheme="minorHAnsi"/>
        </w:rPr>
        <w:t xml:space="preserve"> per year</w:t>
      </w:r>
      <w:r w:rsidR="00FA57B8" w:rsidRPr="006144A6">
        <w:rPr>
          <w:rFonts w:cstheme="minorHAnsi"/>
        </w:rPr>
        <w:t xml:space="preserve">.  </w:t>
      </w:r>
      <w:r w:rsidR="00034611">
        <w:rPr>
          <w:rFonts w:cstheme="minorHAnsi"/>
        </w:rPr>
        <w:t xml:space="preserve">Like any post-graduate professional program, loans and scholarships are readily available, greatly reducing the stress associated with the necessity of “making ends meet” over the course of the 4-year program. </w:t>
      </w:r>
    </w:p>
    <w:p w:rsidR="00D65859" w:rsidRPr="006144A6" w:rsidRDefault="00D65859" w:rsidP="00837792">
      <w:pPr>
        <w:spacing w:line="240" w:lineRule="auto"/>
        <w:contextualSpacing/>
        <w:rPr>
          <w:rFonts w:cstheme="minorHAnsi"/>
        </w:rPr>
      </w:pPr>
    </w:p>
    <w:p w:rsidR="00DC0F32" w:rsidRDefault="00AF26BB" w:rsidP="00DC0F32">
      <w:pPr>
        <w:spacing w:line="240" w:lineRule="auto"/>
        <w:contextualSpacing/>
        <w:rPr>
          <w:rFonts w:ascii="Calibri" w:hAnsi="Calibri"/>
        </w:rPr>
      </w:pPr>
      <w:r>
        <w:rPr>
          <w:rFonts w:ascii="Calibri" w:hAnsi="Calibri"/>
          <w:b/>
        </w:rPr>
        <w:t>Pharmacy</w:t>
      </w:r>
      <w:r w:rsidR="00DC0F32" w:rsidRPr="006B1243">
        <w:rPr>
          <w:rFonts w:ascii="Calibri" w:hAnsi="Calibri"/>
          <w:b/>
        </w:rPr>
        <w:t xml:space="preserve"> Programs in Georgia</w:t>
      </w:r>
      <w:r w:rsidR="00DC0F32">
        <w:rPr>
          <w:rFonts w:ascii="Calibri" w:hAnsi="Calibri"/>
        </w:rPr>
        <w:t>:</w:t>
      </w:r>
    </w:p>
    <w:p w:rsidR="00DC0F32" w:rsidRDefault="00AF26BB" w:rsidP="00034611">
      <w:pPr>
        <w:spacing w:line="240" w:lineRule="auto"/>
        <w:ind w:left="720" w:hanging="360"/>
        <w:contextualSpacing/>
        <w:rPr>
          <w:rFonts w:ascii="Calibri" w:hAnsi="Calibri"/>
        </w:rPr>
      </w:pPr>
      <w:r>
        <w:rPr>
          <w:rFonts w:ascii="Calibri" w:hAnsi="Calibri"/>
        </w:rPr>
        <w:t>Pharm</w:t>
      </w:r>
      <w:r w:rsidR="00034611">
        <w:rPr>
          <w:rFonts w:ascii="Calibri" w:hAnsi="Calibri"/>
        </w:rPr>
        <w:t>D.</w:t>
      </w:r>
      <w:r w:rsidR="00DC0F32">
        <w:rPr>
          <w:rFonts w:ascii="Calibri" w:hAnsi="Calibri"/>
        </w:rPr>
        <w:t xml:space="preserve">- </w:t>
      </w:r>
      <w:r w:rsidR="00034611">
        <w:rPr>
          <w:rFonts w:ascii="Calibri" w:hAnsi="Calibri"/>
        </w:rPr>
        <w:t>University of Georgia School of Veterinary Medicine (Public; Athens</w:t>
      </w:r>
      <w:r>
        <w:rPr>
          <w:rFonts w:ascii="Calibri" w:hAnsi="Calibri"/>
        </w:rPr>
        <w:t>); Mercer University College of Pharmacy (Private; Macon</w:t>
      </w:r>
      <w:r w:rsidR="00195ECF">
        <w:rPr>
          <w:rFonts w:ascii="Calibri" w:hAnsi="Calibri"/>
        </w:rPr>
        <w:t xml:space="preserve"> &amp; Atlanta</w:t>
      </w:r>
      <w:r>
        <w:rPr>
          <w:rFonts w:ascii="Calibri" w:hAnsi="Calibri"/>
        </w:rPr>
        <w:t xml:space="preserve">); </w:t>
      </w:r>
      <w:r w:rsidR="00210B7C">
        <w:rPr>
          <w:rFonts w:ascii="Calibri" w:hAnsi="Calibri"/>
        </w:rPr>
        <w:t xml:space="preserve">Philadelphia College of Osteopathic Medicine School of Pharmacy (Private; Suwanee); </w:t>
      </w:r>
      <w:r w:rsidR="008C3624">
        <w:rPr>
          <w:rFonts w:ascii="Calibri" w:hAnsi="Calibri"/>
        </w:rPr>
        <w:t>South University School of Pharmacy (</w:t>
      </w:r>
      <w:r w:rsidR="008C361F">
        <w:rPr>
          <w:rFonts w:ascii="Calibri" w:hAnsi="Calibri"/>
        </w:rPr>
        <w:t>Private; Savannah)</w:t>
      </w:r>
    </w:p>
    <w:p w:rsidR="00EB11E3" w:rsidRDefault="00EB11E3" w:rsidP="00837792">
      <w:pPr>
        <w:spacing w:line="240" w:lineRule="auto"/>
        <w:contextualSpacing/>
        <w:rPr>
          <w:rFonts w:ascii="Calibri" w:hAnsi="Calibri"/>
          <w:b/>
        </w:rPr>
      </w:pPr>
    </w:p>
    <w:p w:rsidR="00D65859" w:rsidRDefault="00D65859" w:rsidP="00837792">
      <w:pPr>
        <w:spacing w:line="240" w:lineRule="auto"/>
        <w:contextualSpacing/>
        <w:rPr>
          <w:rFonts w:ascii="Calibri" w:hAnsi="Calibri"/>
        </w:rPr>
      </w:pPr>
      <w:r w:rsidRPr="00D65859">
        <w:rPr>
          <w:rFonts w:ascii="Calibri" w:hAnsi="Calibri"/>
          <w:b/>
        </w:rPr>
        <w:t>Admission</w:t>
      </w:r>
      <w:r w:rsidR="00806BFA">
        <w:rPr>
          <w:rFonts w:ascii="Calibri" w:hAnsi="Calibri"/>
          <w:b/>
        </w:rPr>
        <w:t>s</w:t>
      </w:r>
      <w:r>
        <w:rPr>
          <w:rFonts w:ascii="Calibri" w:hAnsi="Calibri"/>
        </w:rPr>
        <w:t xml:space="preserve">: </w:t>
      </w:r>
      <w:r w:rsidR="00E61790">
        <w:rPr>
          <w:rFonts w:ascii="Calibri" w:hAnsi="Calibri"/>
        </w:rPr>
        <w:t>A</w:t>
      </w:r>
      <w:r>
        <w:rPr>
          <w:rFonts w:ascii="Calibri" w:hAnsi="Calibri"/>
        </w:rPr>
        <w:t xml:space="preserve">pplicants are most likely to be admitted to </w:t>
      </w:r>
      <w:r w:rsidR="007A2C4E">
        <w:rPr>
          <w:rFonts w:ascii="Calibri" w:hAnsi="Calibri"/>
        </w:rPr>
        <w:t>Pharmacy</w:t>
      </w:r>
      <w:r>
        <w:rPr>
          <w:rFonts w:ascii="Calibri" w:hAnsi="Calibri"/>
        </w:rPr>
        <w:t xml:space="preserve"> school in their state of residence.  </w:t>
      </w:r>
    </w:p>
    <w:p w:rsidR="00DF0B14" w:rsidRDefault="00EB11E3" w:rsidP="00837792">
      <w:pPr>
        <w:spacing w:line="240" w:lineRule="auto"/>
        <w:contextualSpacing/>
        <w:rPr>
          <w:rFonts w:ascii="Calibri" w:hAnsi="Calibri"/>
        </w:rPr>
      </w:pPr>
      <w:r>
        <w:rPr>
          <w:rFonts w:ascii="Calibri" w:hAnsi="Calibri"/>
        </w:rPr>
        <w:t xml:space="preserve">Acceptance rates for </w:t>
      </w:r>
      <w:r w:rsidR="007A2C4E">
        <w:rPr>
          <w:rFonts w:ascii="Calibri" w:hAnsi="Calibri"/>
        </w:rPr>
        <w:t>Pharmacy</w:t>
      </w:r>
      <w:r>
        <w:rPr>
          <w:rFonts w:ascii="Calibri" w:hAnsi="Calibri"/>
        </w:rPr>
        <w:t xml:space="preserve"> programs </w:t>
      </w:r>
      <w:r w:rsidR="007A2C4E">
        <w:rPr>
          <w:rFonts w:ascii="Calibri" w:hAnsi="Calibri"/>
        </w:rPr>
        <w:t>can be as high as 80%</w:t>
      </w:r>
      <w:r>
        <w:rPr>
          <w:rFonts w:ascii="Calibri" w:hAnsi="Calibri"/>
        </w:rPr>
        <w:t>.</w:t>
      </w:r>
      <w:r w:rsidR="007A2C4E">
        <w:rPr>
          <w:rFonts w:ascii="Calibri" w:hAnsi="Calibri"/>
        </w:rPr>
        <w:t xml:space="preserve">  </w:t>
      </w:r>
      <w:r w:rsidR="00BE7917">
        <w:rPr>
          <w:rFonts w:ascii="Calibri" w:hAnsi="Calibri"/>
        </w:rPr>
        <w:t>Successful a</w:t>
      </w:r>
      <w:r w:rsidR="00DF0B14">
        <w:rPr>
          <w:rFonts w:ascii="Calibri" w:hAnsi="Calibri"/>
        </w:rPr>
        <w:t xml:space="preserve">dmission to a </w:t>
      </w:r>
      <w:r w:rsidR="007A2C4E">
        <w:rPr>
          <w:rFonts w:ascii="Calibri" w:hAnsi="Calibri"/>
        </w:rPr>
        <w:t>Pharmacy</w:t>
      </w:r>
      <w:r w:rsidR="00DF0B14">
        <w:rPr>
          <w:rFonts w:ascii="Calibri" w:hAnsi="Calibri"/>
        </w:rPr>
        <w:t xml:space="preserve"> program requires demonstrated ability and experience in multiple areas.  Excellence in one (e.g. grades), but the omission of another (e.g. experience) will almost certainly result in disappointment; </w:t>
      </w:r>
      <w:r w:rsidR="00DF0B14">
        <w:rPr>
          <w:rFonts w:ascii="Calibri" w:hAnsi="Calibri"/>
          <w:i/>
        </w:rPr>
        <w:t xml:space="preserve">all </w:t>
      </w:r>
      <w:r w:rsidR="00DF0B14">
        <w:rPr>
          <w:rFonts w:ascii="Calibri" w:hAnsi="Calibri"/>
        </w:rPr>
        <w:t>are important.</w:t>
      </w:r>
    </w:p>
    <w:p w:rsidR="00550FD5" w:rsidRPr="00DC0F32" w:rsidRDefault="00550FD5" w:rsidP="00DC0F32">
      <w:pPr>
        <w:pStyle w:val="ListParagraph"/>
        <w:numPr>
          <w:ilvl w:val="0"/>
          <w:numId w:val="1"/>
        </w:numPr>
        <w:spacing w:line="240" w:lineRule="auto"/>
        <w:rPr>
          <w:rFonts w:ascii="Calibri" w:hAnsi="Calibri"/>
        </w:rPr>
      </w:pPr>
      <w:r w:rsidRPr="00DC0F32">
        <w:rPr>
          <w:rFonts w:ascii="Calibri" w:hAnsi="Calibri"/>
          <w:b/>
        </w:rPr>
        <w:t xml:space="preserve">Grades </w:t>
      </w:r>
      <w:r w:rsidR="00DC0F32" w:rsidRPr="00DC0F32">
        <w:rPr>
          <w:rFonts w:ascii="Calibri" w:hAnsi="Calibri"/>
          <w:b/>
        </w:rPr>
        <w:t>(</w:t>
      </w:r>
      <w:r w:rsidRPr="00DC0F32">
        <w:rPr>
          <w:rFonts w:ascii="Calibri" w:hAnsi="Calibri"/>
          <w:b/>
        </w:rPr>
        <w:t>and major</w:t>
      </w:r>
      <w:r w:rsidR="00DC0F32" w:rsidRPr="00DC0F32">
        <w:rPr>
          <w:rFonts w:ascii="Calibri" w:hAnsi="Calibri"/>
          <w:b/>
        </w:rPr>
        <w:t>)</w:t>
      </w:r>
      <w:r w:rsidRPr="00DC0F32">
        <w:rPr>
          <w:rFonts w:ascii="Calibri" w:hAnsi="Calibri"/>
        </w:rPr>
        <w:t xml:space="preserve">: </w:t>
      </w:r>
      <w:r w:rsidR="00E61790">
        <w:rPr>
          <w:rFonts w:ascii="Calibri" w:hAnsi="Calibri"/>
        </w:rPr>
        <w:t xml:space="preserve">As is the case with many other healthcare professional schools, a </w:t>
      </w:r>
      <w:r w:rsidR="008C5242">
        <w:rPr>
          <w:rFonts w:ascii="Calibri" w:hAnsi="Calibri"/>
        </w:rPr>
        <w:t xml:space="preserve">solid </w:t>
      </w:r>
      <w:r w:rsidRPr="00DC0F32">
        <w:rPr>
          <w:rFonts w:ascii="Calibri" w:hAnsi="Calibri"/>
        </w:rPr>
        <w:t>G.P.A. is important, but not as vital as</w:t>
      </w:r>
      <w:r w:rsidR="00E61790">
        <w:rPr>
          <w:rFonts w:ascii="Calibri" w:hAnsi="Calibri"/>
        </w:rPr>
        <w:t xml:space="preserve"> most believe.  A</w:t>
      </w:r>
      <w:r w:rsidRPr="00DC0F32">
        <w:rPr>
          <w:rFonts w:ascii="Calibri" w:hAnsi="Calibri"/>
        </w:rPr>
        <w:t xml:space="preserve">dmissions counselors often use the word “holistic” in how they approach the evaluation of candidates.  </w:t>
      </w:r>
      <w:r w:rsidR="008C5242">
        <w:rPr>
          <w:rFonts w:ascii="Calibri" w:hAnsi="Calibri"/>
        </w:rPr>
        <w:t>R</w:t>
      </w:r>
      <w:r w:rsidR="00E61790">
        <w:rPr>
          <w:rFonts w:ascii="Calibri" w:hAnsi="Calibri"/>
        </w:rPr>
        <w:t xml:space="preserve">ecent admissions number indicate that applicants averaged a GPA of </w:t>
      </w:r>
      <w:r w:rsidR="008C5242">
        <w:rPr>
          <w:rFonts w:ascii="Calibri" w:hAnsi="Calibri"/>
        </w:rPr>
        <w:t xml:space="preserve">3.0 (PCOM-GA) to 3.44 (UGA) </w:t>
      </w:r>
      <w:r w:rsidR="00361191">
        <w:rPr>
          <w:rFonts w:ascii="Calibri" w:hAnsi="Calibri"/>
        </w:rPr>
        <w:t xml:space="preserve">for </w:t>
      </w:r>
      <w:r w:rsidR="00E61790">
        <w:rPr>
          <w:rFonts w:ascii="Calibri" w:hAnsi="Calibri"/>
        </w:rPr>
        <w:t>those acce</w:t>
      </w:r>
      <w:r w:rsidR="00361191">
        <w:rPr>
          <w:rFonts w:ascii="Calibri" w:hAnsi="Calibri"/>
        </w:rPr>
        <w:t>pted and enrolled</w:t>
      </w:r>
      <w:r w:rsidR="00E61790">
        <w:rPr>
          <w:rFonts w:ascii="Calibri" w:hAnsi="Calibri"/>
        </w:rPr>
        <w:t xml:space="preserve">.  </w:t>
      </w:r>
      <w:r w:rsidRPr="00DC0F32">
        <w:rPr>
          <w:rFonts w:ascii="Calibri" w:hAnsi="Calibri"/>
        </w:rPr>
        <w:t xml:space="preserve">Naturally, </w:t>
      </w:r>
      <w:r w:rsidRPr="00DC0F32">
        <w:rPr>
          <w:rFonts w:ascii="Calibri" w:hAnsi="Calibri"/>
        </w:rPr>
        <w:lastRenderedPageBreak/>
        <w:t xml:space="preserve">acceptance rates for students with </w:t>
      </w:r>
      <w:r w:rsidR="00E61790">
        <w:rPr>
          <w:rFonts w:ascii="Calibri" w:hAnsi="Calibri"/>
        </w:rPr>
        <w:t xml:space="preserve">lower </w:t>
      </w:r>
      <w:r w:rsidRPr="00DC0F32">
        <w:rPr>
          <w:rFonts w:ascii="Calibri" w:hAnsi="Calibri"/>
        </w:rPr>
        <w:t xml:space="preserve">G.P.A.s </w:t>
      </w:r>
      <w:r w:rsidR="00361191">
        <w:rPr>
          <w:rFonts w:ascii="Calibri" w:hAnsi="Calibri"/>
        </w:rPr>
        <w:t>(</w:t>
      </w:r>
      <w:r w:rsidR="008C5242">
        <w:rPr>
          <w:rFonts w:ascii="Calibri" w:hAnsi="Calibri"/>
        </w:rPr>
        <w:t xml:space="preserve">less than </w:t>
      </w:r>
      <w:r w:rsidR="00361191">
        <w:rPr>
          <w:rFonts w:ascii="Calibri" w:hAnsi="Calibri"/>
        </w:rPr>
        <w:t>3.0</w:t>
      </w:r>
      <w:r w:rsidR="00D33811">
        <w:rPr>
          <w:rFonts w:ascii="Calibri" w:hAnsi="Calibri"/>
        </w:rPr>
        <w:t xml:space="preserve">) </w:t>
      </w:r>
      <w:r w:rsidRPr="00DC0F32">
        <w:rPr>
          <w:rFonts w:ascii="Calibri" w:hAnsi="Calibri"/>
        </w:rPr>
        <w:t>are low</w:t>
      </w:r>
      <w:r w:rsidR="00E61790">
        <w:rPr>
          <w:rFonts w:ascii="Calibri" w:hAnsi="Calibri"/>
        </w:rPr>
        <w:t>; but they are not negligible</w:t>
      </w:r>
      <w:r w:rsidRPr="00DC0F32">
        <w:rPr>
          <w:rFonts w:ascii="Calibri" w:hAnsi="Calibri"/>
        </w:rPr>
        <w:t>.  In short, strong grades are important</w:t>
      </w:r>
      <w:r w:rsidR="006B1243" w:rsidRPr="00DC0F32">
        <w:rPr>
          <w:rFonts w:ascii="Calibri" w:hAnsi="Calibri"/>
        </w:rPr>
        <w:t xml:space="preserve"> (3.</w:t>
      </w:r>
      <w:r w:rsidR="00361191">
        <w:rPr>
          <w:rFonts w:ascii="Calibri" w:hAnsi="Calibri"/>
        </w:rPr>
        <w:t>4</w:t>
      </w:r>
      <w:r w:rsidR="006B1243" w:rsidRPr="00DC0F32">
        <w:rPr>
          <w:rFonts w:ascii="Calibri" w:hAnsi="Calibri"/>
        </w:rPr>
        <w:t>+ GPA)</w:t>
      </w:r>
      <w:r w:rsidRPr="00DC0F32">
        <w:rPr>
          <w:rFonts w:ascii="Calibri" w:hAnsi="Calibri"/>
        </w:rPr>
        <w:t xml:space="preserve">; stellar grades </w:t>
      </w:r>
      <w:r w:rsidR="006B1243" w:rsidRPr="00DC0F32">
        <w:rPr>
          <w:rFonts w:ascii="Calibri" w:hAnsi="Calibri"/>
        </w:rPr>
        <w:t xml:space="preserve">(3.8+ GPA) </w:t>
      </w:r>
      <w:r w:rsidRPr="00DC0F32">
        <w:rPr>
          <w:rFonts w:ascii="Calibri" w:hAnsi="Calibri"/>
        </w:rPr>
        <w:t xml:space="preserve">will not make up for deficiencies seen elsewhere in the application.  </w:t>
      </w:r>
    </w:p>
    <w:p w:rsidR="00D65859" w:rsidRDefault="00E61790" w:rsidP="00DC0F32">
      <w:pPr>
        <w:spacing w:line="240" w:lineRule="auto"/>
        <w:ind w:left="720"/>
        <w:contextualSpacing/>
        <w:rPr>
          <w:rFonts w:ascii="Calibri" w:hAnsi="Calibri"/>
        </w:rPr>
      </w:pPr>
      <w:r>
        <w:rPr>
          <w:rFonts w:ascii="Calibri" w:hAnsi="Calibri"/>
        </w:rPr>
        <w:t xml:space="preserve">As with other healthcare professional programs, </w:t>
      </w:r>
      <w:r w:rsidR="00550FD5">
        <w:rPr>
          <w:rFonts w:ascii="Calibri" w:hAnsi="Calibri"/>
        </w:rPr>
        <w:t>schools are looking for intelligent, motivated</w:t>
      </w:r>
      <w:r w:rsidR="006B1243">
        <w:rPr>
          <w:rFonts w:ascii="Calibri" w:hAnsi="Calibri"/>
        </w:rPr>
        <w:t xml:space="preserve"> and compassionate students.  They are looking for students with the basic background knowledge (i.e. “pre-requisites”) and are expecting to “teach the rest”.</w:t>
      </w:r>
      <w:r w:rsidR="00C0157E">
        <w:rPr>
          <w:rFonts w:ascii="Calibri" w:hAnsi="Calibri"/>
        </w:rPr>
        <w:t xml:space="preserve">  That is, the selection is major is not as important as most would assume.  So long as a student has the pre-requisite courses (regardless of whether they are part of their major or not), </w:t>
      </w:r>
      <w:r>
        <w:rPr>
          <w:rFonts w:ascii="Calibri" w:hAnsi="Calibri"/>
        </w:rPr>
        <w:t xml:space="preserve">dental programs </w:t>
      </w:r>
      <w:r w:rsidR="00C0157E">
        <w:rPr>
          <w:rFonts w:ascii="Calibri" w:hAnsi="Calibri"/>
        </w:rPr>
        <w:t>are satisfied.  In other words, a “Pre-</w:t>
      </w:r>
      <w:r w:rsidR="008C5242">
        <w:rPr>
          <w:rFonts w:ascii="Calibri" w:hAnsi="Calibri"/>
        </w:rPr>
        <w:t>Pharm</w:t>
      </w:r>
      <w:r w:rsidR="00C0157E">
        <w:rPr>
          <w:rFonts w:ascii="Calibri" w:hAnsi="Calibri"/>
        </w:rPr>
        <w:t xml:space="preserve">” major is </w:t>
      </w:r>
      <w:r w:rsidR="00C0157E">
        <w:rPr>
          <w:rFonts w:ascii="Calibri" w:hAnsi="Calibri"/>
          <w:i/>
        </w:rPr>
        <w:t xml:space="preserve">not </w:t>
      </w:r>
      <w:r w:rsidR="00C0157E">
        <w:rPr>
          <w:rFonts w:ascii="Calibri" w:hAnsi="Calibri"/>
        </w:rPr>
        <w:t xml:space="preserve">required (and is a determent in some </w:t>
      </w:r>
      <w:r w:rsidR="00361191">
        <w:rPr>
          <w:rFonts w:ascii="Calibri" w:hAnsi="Calibri"/>
        </w:rPr>
        <w:t xml:space="preserve">circles) and there are </w:t>
      </w:r>
      <w:r w:rsidR="00C0157E">
        <w:rPr>
          <w:rFonts w:ascii="Calibri" w:hAnsi="Calibri"/>
        </w:rPr>
        <w:t xml:space="preserve">stories of History, Chemistry, Business majors being accepted to </w:t>
      </w:r>
      <w:r w:rsidR="008C5242">
        <w:rPr>
          <w:rFonts w:ascii="Calibri" w:hAnsi="Calibri"/>
        </w:rPr>
        <w:t>Pharmacy</w:t>
      </w:r>
      <w:r w:rsidR="00C0157E">
        <w:rPr>
          <w:rFonts w:ascii="Calibri" w:hAnsi="Calibri"/>
        </w:rPr>
        <w:t xml:space="preserve"> schools.  They merely took the additional coursework and performed the other requirements to successfully apply to </w:t>
      </w:r>
      <w:r>
        <w:rPr>
          <w:rFonts w:ascii="Calibri" w:hAnsi="Calibri"/>
        </w:rPr>
        <w:t>a program</w:t>
      </w:r>
      <w:r w:rsidR="00C0157E">
        <w:rPr>
          <w:rFonts w:ascii="Calibri" w:hAnsi="Calibri"/>
        </w:rPr>
        <w:t>.</w:t>
      </w:r>
    </w:p>
    <w:p w:rsidR="00C0157E" w:rsidRDefault="00C0157E" w:rsidP="00550FD5">
      <w:pPr>
        <w:spacing w:line="240" w:lineRule="auto"/>
        <w:ind w:firstLine="360"/>
        <w:contextualSpacing/>
        <w:rPr>
          <w:rFonts w:ascii="Calibri" w:hAnsi="Calibri"/>
        </w:rPr>
      </w:pPr>
    </w:p>
    <w:p w:rsidR="00C0157E" w:rsidRDefault="00DC0F32" w:rsidP="00361191">
      <w:pPr>
        <w:spacing w:line="240" w:lineRule="auto"/>
        <w:ind w:left="720"/>
        <w:contextualSpacing/>
        <w:rPr>
          <w:rFonts w:ascii="Calibri" w:hAnsi="Calibri"/>
        </w:rPr>
      </w:pPr>
      <w:r>
        <w:rPr>
          <w:rFonts w:ascii="Calibri" w:hAnsi="Calibri"/>
          <w:b/>
        </w:rPr>
        <w:t>Your m</w:t>
      </w:r>
      <w:r w:rsidR="00C0157E" w:rsidRPr="00C0157E">
        <w:rPr>
          <w:rFonts w:ascii="Calibri" w:hAnsi="Calibri"/>
          <w:b/>
        </w:rPr>
        <w:t>ajor</w:t>
      </w:r>
      <w:r>
        <w:rPr>
          <w:rFonts w:ascii="Calibri" w:hAnsi="Calibri"/>
          <w:b/>
        </w:rPr>
        <w:t xml:space="preserve"> at</w:t>
      </w:r>
      <w:r w:rsidR="00C0157E" w:rsidRPr="00C0157E">
        <w:rPr>
          <w:rFonts w:ascii="Calibri" w:hAnsi="Calibri"/>
          <w:b/>
        </w:rPr>
        <w:t xml:space="preserve"> Oglethorpe</w:t>
      </w:r>
      <w:r w:rsidR="00C0157E">
        <w:rPr>
          <w:rFonts w:ascii="Calibri" w:hAnsi="Calibri"/>
        </w:rPr>
        <w:t xml:space="preserve">: Traditionally, students accepted to </w:t>
      </w:r>
      <w:r w:rsidR="008C5242">
        <w:rPr>
          <w:rFonts w:ascii="Calibri" w:hAnsi="Calibri"/>
        </w:rPr>
        <w:t>Pharmacy</w:t>
      </w:r>
      <w:r w:rsidR="00C0157E">
        <w:rPr>
          <w:rFonts w:ascii="Calibri" w:hAnsi="Calibri"/>
        </w:rPr>
        <w:t xml:space="preserve"> school have majored in Biology</w:t>
      </w:r>
      <w:r w:rsidR="00361191">
        <w:rPr>
          <w:rFonts w:ascii="Calibri" w:hAnsi="Calibri"/>
        </w:rPr>
        <w:t xml:space="preserve">, BioPsychology </w:t>
      </w:r>
      <w:r w:rsidR="00E61790">
        <w:rPr>
          <w:rFonts w:ascii="Calibri" w:hAnsi="Calibri"/>
        </w:rPr>
        <w:t>or Chemistry</w:t>
      </w:r>
      <w:r w:rsidR="00C0157E">
        <w:rPr>
          <w:rFonts w:ascii="Calibri" w:hAnsi="Calibri"/>
        </w:rPr>
        <w:t>.  This is largely out of convenience</w:t>
      </w:r>
      <w:r w:rsidR="006916C3">
        <w:rPr>
          <w:rFonts w:ascii="Calibri" w:hAnsi="Calibri"/>
        </w:rPr>
        <w:t>-- t</w:t>
      </w:r>
      <w:r w:rsidR="00C0157E">
        <w:rPr>
          <w:rFonts w:ascii="Calibri" w:hAnsi="Calibri"/>
        </w:rPr>
        <w:t xml:space="preserve">he pre-requisites for most </w:t>
      </w:r>
      <w:r w:rsidR="008C5242">
        <w:rPr>
          <w:rFonts w:ascii="Calibri" w:hAnsi="Calibri"/>
        </w:rPr>
        <w:t>Pharmacy</w:t>
      </w:r>
      <w:r w:rsidR="00C0157E">
        <w:rPr>
          <w:rFonts w:ascii="Calibri" w:hAnsi="Calibri"/>
        </w:rPr>
        <w:t xml:space="preserve"> programs are largely covered by the</w:t>
      </w:r>
      <w:r w:rsidR="00D33811">
        <w:rPr>
          <w:rFonts w:ascii="Calibri" w:hAnsi="Calibri"/>
        </w:rPr>
        <w:t xml:space="preserve">se </w:t>
      </w:r>
      <w:r w:rsidR="00C0157E">
        <w:rPr>
          <w:rFonts w:ascii="Calibri" w:hAnsi="Calibri"/>
        </w:rPr>
        <w:t>major</w:t>
      </w:r>
      <w:r w:rsidR="00D33811">
        <w:rPr>
          <w:rFonts w:ascii="Calibri" w:hAnsi="Calibri"/>
        </w:rPr>
        <w:t>s</w:t>
      </w:r>
      <w:r w:rsidR="00C0157E">
        <w:rPr>
          <w:rFonts w:ascii="Calibri" w:hAnsi="Calibri"/>
        </w:rPr>
        <w:t xml:space="preserve">.  However, OU has had students with </w:t>
      </w:r>
      <w:r w:rsidR="00361191">
        <w:rPr>
          <w:rFonts w:ascii="Calibri" w:hAnsi="Calibri"/>
        </w:rPr>
        <w:t xml:space="preserve">other </w:t>
      </w:r>
      <w:r w:rsidR="00C0157E">
        <w:rPr>
          <w:rFonts w:ascii="Calibri" w:hAnsi="Calibri"/>
        </w:rPr>
        <w:t>majo</w:t>
      </w:r>
      <w:r w:rsidR="00D33811">
        <w:rPr>
          <w:rFonts w:ascii="Calibri" w:hAnsi="Calibri"/>
        </w:rPr>
        <w:t xml:space="preserve">rs </w:t>
      </w:r>
      <w:r w:rsidR="00361191">
        <w:rPr>
          <w:rFonts w:ascii="Calibri" w:hAnsi="Calibri"/>
        </w:rPr>
        <w:t>have successfully applied</w:t>
      </w:r>
      <w:r w:rsidR="00C0157E">
        <w:rPr>
          <w:rFonts w:ascii="Calibri" w:hAnsi="Calibri"/>
        </w:rPr>
        <w:t xml:space="preserve">.  </w:t>
      </w:r>
    </w:p>
    <w:p w:rsidR="006916C3" w:rsidRDefault="006916C3" w:rsidP="006916C3">
      <w:pPr>
        <w:pStyle w:val="ListParagraph"/>
        <w:numPr>
          <w:ilvl w:val="0"/>
          <w:numId w:val="1"/>
        </w:numPr>
        <w:spacing w:line="240" w:lineRule="auto"/>
        <w:rPr>
          <w:rFonts w:ascii="Calibri" w:hAnsi="Calibri"/>
        </w:rPr>
      </w:pPr>
      <w:r w:rsidRPr="006916C3">
        <w:rPr>
          <w:rFonts w:ascii="Calibri" w:hAnsi="Calibri"/>
          <w:b/>
        </w:rPr>
        <w:t>Pre-requisites</w:t>
      </w:r>
      <w:r w:rsidR="00CB62B7">
        <w:rPr>
          <w:rFonts w:ascii="Calibri" w:hAnsi="Calibri"/>
          <w:b/>
        </w:rPr>
        <w:t>/</w:t>
      </w:r>
      <w:r>
        <w:rPr>
          <w:rFonts w:ascii="Calibri" w:hAnsi="Calibri"/>
          <w:b/>
        </w:rPr>
        <w:t>Coursework</w:t>
      </w:r>
      <w:r>
        <w:rPr>
          <w:rFonts w:ascii="Calibri" w:hAnsi="Calibri"/>
        </w:rPr>
        <w:t xml:space="preserve">: Academic preparation requires successful completion of several items. First and foremost is a bachelor’s degree.  </w:t>
      </w:r>
      <w:r w:rsidR="008C5242">
        <w:rPr>
          <w:rFonts w:ascii="Calibri" w:hAnsi="Calibri"/>
        </w:rPr>
        <w:t>Pharmacy</w:t>
      </w:r>
      <w:r>
        <w:rPr>
          <w:rFonts w:ascii="Calibri" w:hAnsi="Calibri"/>
        </w:rPr>
        <w:t xml:space="preserve"> school is a post-graduate (i.e. post- B.A. or B.S.) education</w:t>
      </w:r>
      <w:r w:rsidR="008C5242">
        <w:rPr>
          <w:rFonts w:ascii="Calibri" w:hAnsi="Calibri"/>
        </w:rPr>
        <w:t>; though unlike many other post-graduate professional schools, Pharmacy schools still admit students without a degree, but with a large list of pre-requisite courses</w:t>
      </w:r>
      <w:r>
        <w:rPr>
          <w:rFonts w:ascii="Calibri" w:hAnsi="Calibri"/>
        </w:rPr>
        <w:t xml:space="preserve">.  </w:t>
      </w:r>
    </w:p>
    <w:p w:rsidR="006916C3" w:rsidRDefault="006916C3" w:rsidP="006916C3">
      <w:pPr>
        <w:pStyle w:val="ListParagraph"/>
        <w:spacing w:line="240" w:lineRule="auto"/>
        <w:rPr>
          <w:rFonts w:ascii="Calibri" w:hAnsi="Calibri"/>
        </w:rPr>
      </w:pPr>
      <w:r>
        <w:rPr>
          <w:rFonts w:ascii="Calibri" w:hAnsi="Calibri"/>
        </w:rPr>
        <w:t xml:space="preserve">The choice of major is not very important (see A), above).  </w:t>
      </w:r>
      <w:r w:rsidR="00B36964">
        <w:rPr>
          <w:rFonts w:ascii="Calibri" w:hAnsi="Calibri"/>
        </w:rPr>
        <w:t xml:space="preserve">The </w:t>
      </w:r>
      <w:r w:rsidR="00CB62B7">
        <w:rPr>
          <w:rFonts w:ascii="Calibri" w:hAnsi="Calibri"/>
        </w:rPr>
        <w:t>UGA</w:t>
      </w:r>
      <w:r w:rsidR="00B36964">
        <w:rPr>
          <w:rFonts w:ascii="Calibri" w:hAnsi="Calibri"/>
        </w:rPr>
        <w:t xml:space="preserve"> program requires the following</w:t>
      </w:r>
      <w:r>
        <w:rPr>
          <w:rFonts w:ascii="Calibri" w:hAnsi="Calibri"/>
        </w:rPr>
        <w:t>:</w:t>
      </w:r>
    </w:p>
    <w:p w:rsidR="006916C3" w:rsidRDefault="006916C3" w:rsidP="006916C3">
      <w:pPr>
        <w:pStyle w:val="ListParagraph"/>
        <w:spacing w:line="240" w:lineRule="auto"/>
        <w:rPr>
          <w:rFonts w:ascii="Calibri" w:hAnsi="Calibri"/>
        </w:rPr>
      </w:pPr>
      <w:r>
        <w:rPr>
          <w:rFonts w:ascii="Calibri" w:hAnsi="Calibri"/>
        </w:rPr>
        <w:tab/>
        <w:t>General (Inorganic) Chemistry- 2 semesters/1 year</w:t>
      </w:r>
    </w:p>
    <w:p w:rsidR="006916C3" w:rsidRDefault="006916C3" w:rsidP="006916C3">
      <w:pPr>
        <w:pStyle w:val="ListParagraph"/>
        <w:spacing w:line="240" w:lineRule="auto"/>
        <w:rPr>
          <w:rFonts w:ascii="Calibri" w:hAnsi="Calibri"/>
        </w:rPr>
      </w:pPr>
      <w:r>
        <w:rPr>
          <w:rFonts w:ascii="Calibri" w:hAnsi="Calibri"/>
        </w:rPr>
        <w:tab/>
      </w:r>
      <w:r w:rsidR="004763F5">
        <w:rPr>
          <w:rFonts w:ascii="Calibri" w:hAnsi="Calibri"/>
        </w:rPr>
        <w:t>Biology- 2 semesters/1 year the introductory level</w:t>
      </w:r>
    </w:p>
    <w:p w:rsidR="004763F5" w:rsidRDefault="00D33811" w:rsidP="006916C3">
      <w:pPr>
        <w:pStyle w:val="ListParagraph"/>
        <w:spacing w:line="240" w:lineRule="auto"/>
        <w:rPr>
          <w:rFonts w:ascii="Calibri" w:hAnsi="Calibri"/>
        </w:rPr>
      </w:pPr>
      <w:r>
        <w:rPr>
          <w:rFonts w:ascii="Calibri" w:hAnsi="Calibri"/>
        </w:rPr>
        <w:tab/>
        <w:t xml:space="preserve">Physics- 1 semester/½ </w:t>
      </w:r>
      <w:r w:rsidR="004763F5">
        <w:rPr>
          <w:rFonts w:ascii="Calibri" w:hAnsi="Calibri"/>
        </w:rPr>
        <w:t>year at the introductory level (i.e. non-Calculus)</w:t>
      </w:r>
    </w:p>
    <w:p w:rsidR="008C5242" w:rsidRDefault="008C5242" w:rsidP="006916C3">
      <w:pPr>
        <w:pStyle w:val="ListParagraph"/>
        <w:spacing w:line="240" w:lineRule="auto"/>
        <w:rPr>
          <w:rFonts w:ascii="Calibri" w:hAnsi="Calibri"/>
        </w:rPr>
      </w:pPr>
      <w:r>
        <w:rPr>
          <w:rFonts w:ascii="Calibri" w:hAnsi="Calibri"/>
        </w:rPr>
        <w:tab/>
        <w:t>Calculus</w:t>
      </w:r>
    </w:p>
    <w:p w:rsidR="008C5242" w:rsidRDefault="008C5242" w:rsidP="006916C3">
      <w:pPr>
        <w:pStyle w:val="ListParagraph"/>
        <w:spacing w:line="240" w:lineRule="auto"/>
        <w:rPr>
          <w:rFonts w:ascii="Calibri" w:hAnsi="Calibri"/>
        </w:rPr>
      </w:pPr>
      <w:r>
        <w:rPr>
          <w:rFonts w:ascii="Calibri" w:hAnsi="Calibri"/>
        </w:rPr>
        <w:tab/>
        <w:t>BioChemistry</w:t>
      </w:r>
    </w:p>
    <w:p w:rsidR="009C2ED0" w:rsidRDefault="00D33811" w:rsidP="009C2ED0">
      <w:pPr>
        <w:pStyle w:val="ListParagraph"/>
        <w:spacing w:line="240" w:lineRule="auto"/>
        <w:rPr>
          <w:rFonts w:ascii="Calibri" w:hAnsi="Calibri"/>
        </w:rPr>
      </w:pPr>
      <w:r>
        <w:rPr>
          <w:rFonts w:ascii="Calibri" w:hAnsi="Calibri"/>
        </w:rPr>
        <w:tab/>
        <w:t>English- 1 year (e.g. Core 101/102)</w:t>
      </w:r>
    </w:p>
    <w:p w:rsidR="009C2ED0" w:rsidRPr="009C2ED0" w:rsidRDefault="009C2ED0" w:rsidP="009C2ED0">
      <w:pPr>
        <w:pStyle w:val="ListParagraph"/>
        <w:spacing w:line="240" w:lineRule="auto"/>
        <w:rPr>
          <w:rFonts w:ascii="Calibri" w:hAnsi="Calibri"/>
        </w:rPr>
      </w:pPr>
      <w:r>
        <w:rPr>
          <w:rFonts w:ascii="Calibri" w:hAnsi="Calibri"/>
        </w:rPr>
        <w:tab/>
        <w:t>Other humanities coursework</w:t>
      </w:r>
    </w:p>
    <w:p w:rsidR="008C5242" w:rsidRDefault="008C5242" w:rsidP="008C5242">
      <w:pPr>
        <w:pStyle w:val="ListParagraph"/>
        <w:spacing w:line="240" w:lineRule="auto"/>
        <w:rPr>
          <w:rFonts w:ascii="Calibri" w:hAnsi="Calibri"/>
        </w:rPr>
      </w:pPr>
    </w:p>
    <w:p w:rsidR="004763F5" w:rsidRDefault="008C5242" w:rsidP="008C5242">
      <w:pPr>
        <w:pStyle w:val="ListParagraph"/>
        <w:spacing w:line="240" w:lineRule="auto"/>
        <w:rPr>
          <w:rFonts w:ascii="Calibri" w:hAnsi="Calibri"/>
        </w:rPr>
      </w:pPr>
      <w:r>
        <w:rPr>
          <w:rFonts w:ascii="Calibri" w:hAnsi="Calibri"/>
        </w:rPr>
        <w:t xml:space="preserve">Programs vary widely on the particulars of admissions requirements.  </w:t>
      </w:r>
      <w:r w:rsidRPr="00C147E5">
        <w:rPr>
          <w:rFonts w:cstheme="minorHAnsi"/>
        </w:rPr>
        <w:t>Whenever you are identifying a program to apply to, it is strongly suggested that you review and prepare for any and all specific program requirements.</w:t>
      </w:r>
      <w:r>
        <w:rPr>
          <w:rFonts w:ascii="Calibri" w:hAnsi="Calibri"/>
        </w:rPr>
        <w:t xml:space="preserve"> </w:t>
      </w:r>
    </w:p>
    <w:p w:rsidR="008C5242" w:rsidRDefault="008C5242" w:rsidP="008C5242">
      <w:pPr>
        <w:pStyle w:val="ListParagraph"/>
        <w:spacing w:line="240" w:lineRule="auto"/>
        <w:rPr>
          <w:rFonts w:ascii="Calibri" w:hAnsi="Calibri"/>
        </w:rPr>
      </w:pPr>
    </w:p>
    <w:p w:rsidR="0035203B" w:rsidRPr="00C147E5" w:rsidRDefault="0035203B" w:rsidP="006916C3">
      <w:pPr>
        <w:pStyle w:val="ListParagraph"/>
        <w:spacing w:line="240" w:lineRule="auto"/>
        <w:rPr>
          <w:rFonts w:cstheme="minorHAnsi"/>
        </w:rPr>
      </w:pPr>
      <w:r>
        <w:rPr>
          <w:rFonts w:ascii="Calibri" w:hAnsi="Calibri"/>
        </w:rPr>
        <w:t xml:space="preserve">The reality is that the more coursework preparation, the better.  It is often suggested that courses in </w:t>
      </w:r>
      <w:r w:rsidR="00B36964">
        <w:rPr>
          <w:rFonts w:ascii="Calibri" w:hAnsi="Calibri"/>
        </w:rPr>
        <w:t xml:space="preserve">Organic Chemistry, </w:t>
      </w:r>
      <w:r w:rsidR="009C2ED0">
        <w:rPr>
          <w:rFonts w:ascii="Calibri" w:hAnsi="Calibri"/>
        </w:rPr>
        <w:t xml:space="preserve">Biochemistry, </w:t>
      </w:r>
      <w:r>
        <w:rPr>
          <w:rFonts w:ascii="Calibri" w:hAnsi="Calibri"/>
        </w:rPr>
        <w:t xml:space="preserve">Physiology, Cell Biology, Molecular Biology, and/or Genetics are a useful addition to the list of suggested </w:t>
      </w:r>
      <w:r w:rsidRPr="00C147E5">
        <w:rPr>
          <w:rFonts w:cstheme="minorHAnsi"/>
        </w:rPr>
        <w:t xml:space="preserve">courses.  </w:t>
      </w:r>
    </w:p>
    <w:p w:rsidR="004763F5" w:rsidRDefault="0035203B" w:rsidP="006916C3">
      <w:pPr>
        <w:pStyle w:val="ListParagraph"/>
        <w:spacing w:line="240" w:lineRule="auto"/>
        <w:rPr>
          <w:rFonts w:cstheme="minorHAnsi"/>
        </w:rPr>
      </w:pPr>
      <w:r w:rsidRPr="00C147E5">
        <w:rPr>
          <w:rFonts w:cstheme="minorHAnsi"/>
        </w:rPr>
        <w:t xml:space="preserve">In addition, many programs have specific and specialized pre-requisites, such as </w:t>
      </w:r>
      <w:r w:rsidR="008C5242">
        <w:rPr>
          <w:rFonts w:cstheme="minorHAnsi"/>
        </w:rPr>
        <w:t>Calculus I</w:t>
      </w:r>
      <w:r w:rsidRPr="00C147E5">
        <w:rPr>
          <w:rFonts w:cstheme="minorHAnsi"/>
        </w:rPr>
        <w:t xml:space="preserve"> </w:t>
      </w:r>
      <w:r w:rsidR="009C2ED0">
        <w:rPr>
          <w:rFonts w:cstheme="minorHAnsi"/>
        </w:rPr>
        <w:t xml:space="preserve">or advanced </w:t>
      </w:r>
      <w:r w:rsidRPr="00C147E5">
        <w:rPr>
          <w:rFonts w:cstheme="minorHAnsi"/>
        </w:rPr>
        <w:t xml:space="preserve">Statistics.  </w:t>
      </w:r>
    </w:p>
    <w:p w:rsidR="004771CF" w:rsidRDefault="004771CF" w:rsidP="006916C3">
      <w:pPr>
        <w:pStyle w:val="ListParagraph"/>
        <w:spacing w:line="240" w:lineRule="auto"/>
        <w:rPr>
          <w:rFonts w:cstheme="minorHAnsi"/>
        </w:rPr>
      </w:pPr>
    </w:p>
    <w:p w:rsidR="004771CF" w:rsidRDefault="004771CF" w:rsidP="006916C3">
      <w:pPr>
        <w:pStyle w:val="ListParagraph"/>
        <w:spacing w:line="240" w:lineRule="auto"/>
        <w:rPr>
          <w:rFonts w:cstheme="minorHAnsi"/>
        </w:rPr>
      </w:pPr>
    </w:p>
    <w:p w:rsidR="004771CF" w:rsidRDefault="004771CF" w:rsidP="006916C3">
      <w:pPr>
        <w:pStyle w:val="ListParagraph"/>
        <w:spacing w:line="240" w:lineRule="auto"/>
        <w:rPr>
          <w:rFonts w:cstheme="minorHAnsi"/>
        </w:rPr>
      </w:pPr>
    </w:p>
    <w:p w:rsidR="004771CF" w:rsidRDefault="004771CF" w:rsidP="006916C3">
      <w:pPr>
        <w:pStyle w:val="ListParagraph"/>
        <w:spacing w:line="240" w:lineRule="auto"/>
        <w:rPr>
          <w:rFonts w:cstheme="minorHAnsi"/>
        </w:rPr>
      </w:pPr>
    </w:p>
    <w:p w:rsidR="004771CF" w:rsidRDefault="004771CF" w:rsidP="006916C3">
      <w:pPr>
        <w:pStyle w:val="ListParagraph"/>
        <w:spacing w:line="240" w:lineRule="auto"/>
        <w:rPr>
          <w:rFonts w:cstheme="minorHAnsi"/>
        </w:rPr>
      </w:pPr>
    </w:p>
    <w:p w:rsidR="004771CF" w:rsidRDefault="004771CF" w:rsidP="006916C3">
      <w:pPr>
        <w:pStyle w:val="ListParagraph"/>
        <w:spacing w:line="240" w:lineRule="auto"/>
        <w:rPr>
          <w:rFonts w:cstheme="minorHAnsi"/>
        </w:rPr>
      </w:pPr>
    </w:p>
    <w:p w:rsidR="004771CF" w:rsidRDefault="004771CF" w:rsidP="006916C3">
      <w:pPr>
        <w:pStyle w:val="ListParagraph"/>
        <w:spacing w:line="240" w:lineRule="auto"/>
        <w:rPr>
          <w:rFonts w:cstheme="minorHAnsi"/>
        </w:rPr>
      </w:pPr>
    </w:p>
    <w:p w:rsidR="004771CF" w:rsidRDefault="004771CF" w:rsidP="006916C3">
      <w:pPr>
        <w:pStyle w:val="ListParagraph"/>
        <w:spacing w:line="240" w:lineRule="auto"/>
        <w:rPr>
          <w:rFonts w:cstheme="minorHAnsi"/>
        </w:rPr>
      </w:pPr>
    </w:p>
    <w:p w:rsidR="004771CF" w:rsidRDefault="004771CF" w:rsidP="006916C3">
      <w:pPr>
        <w:pStyle w:val="ListParagraph"/>
        <w:spacing w:line="240" w:lineRule="auto"/>
        <w:rPr>
          <w:rFonts w:cstheme="minorHAnsi"/>
        </w:rPr>
      </w:pPr>
    </w:p>
    <w:p w:rsidR="004771CF" w:rsidRDefault="004771CF" w:rsidP="006916C3">
      <w:pPr>
        <w:pStyle w:val="ListParagraph"/>
        <w:spacing w:line="240" w:lineRule="auto"/>
        <w:rPr>
          <w:rFonts w:cstheme="minorHAnsi"/>
        </w:rPr>
      </w:pPr>
    </w:p>
    <w:p w:rsidR="004771CF" w:rsidRPr="00C147E5" w:rsidRDefault="00B52019" w:rsidP="006916C3">
      <w:pPr>
        <w:pStyle w:val="ListParagraph"/>
        <w:spacing w:line="240" w:lineRule="auto"/>
        <w:rPr>
          <w:rFonts w:cstheme="minorHAnsi"/>
        </w:rPr>
      </w:pPr>
      <w:hyperlink r:id="rId5" w:history="1">
        <w:r w:rsidRPr="00332C07">
          <w:rPr>
            <w:rStyle w:val="Hyperlink"/>
            <w:rFonts w:cstheme="minorHAnsi"/>
          </w:rPr>
          <w:t>https://www.aacp.org/resource/pharmacy-college-admission-test</w:t>
        </w:r>
      </w:hyperlink>
      <w:r>
        <w:rPr>
          <w:rFonts w:cstheme="minorHAnsi"/>
        </w:rPr>
        <w:t xml:space="preserve"> </w:t>
      </w:r>
      <w:bookmarkStart w:id="0" w:name="_GoBack"/>
      <w:bookmarkEnd w:id="0"/>
    </w:p>
    <w:p w:rsidR="00C147E5" w:rsidRDefault="0035203B" w:rsidP="00C147E5">
      <w:pPr>
        <w:pStyle w:val="NormalWeb"/>
        <w:numPr>
          <w:ilvl w:val="0"/>
          <w:numId w:val="1"/>
        </w:numPr>
        <w:spacing w:before="0" w:beforeAutospacing="0" w:after="360" w:afterAutospacing="0"/>
        <w:rPr>
          <w:rFonts w:asciiTheme="minorHAnsi" w:hAnsiTheme="minorHAnsi" w:cstheme="minorHAnsi"/>
          <w:sz w:val="22"/>
          <w:szCs w:val="22"/>
        </w:rPr>
      </w:pPr>
      <w:r w:rsidRPr="00C147E5">
        <w:rPr>
          <w:rFonts w:asciiTheme="minorHAnsi" w:hAnsiTheme="minorHAnsi" w:cstheme="minorHAnsi"/>
          <w:b/>
          <w:sz w:val="22"/>
          <w:szCs w:val="22"/>
        </w:rPr>
        <w:lastRenderedPageBreak/>
        <w:t>Standardized Testing</w:t>
      </w:r>
      <w:r w:rsidR="0022676D" w:rsidRPr="00C147E5">
        <w:rPr>
          <w:rFonts w:asciiTheme="minorHAnsi" w:hAnsiTheme="minorHAnsi" w:cstheme="minorHAnsi"/>
          <w:sz w:val="22"/>
          <w:szCs w:val="22"/>
        </w:rPr>
        <w:t xml:space="preserve">: </w:t>
      </w:r>
      <w:r w:rsidR="009C2ED0">
        <w:rPr>
          <w:rFonts w:asciiTheme="minorHAnsi" w:hAnsiTheme="minorHAnsi" w:cstheme="minorHAnsi"/>
          <w:sz w:val="22"/>
          <w:szCs w:val="22"/>
        </w:rPr>
        <w:t>Veterinary</w:t>
      </w:r>
      <w:r w:rsidR="00B36964" w:rsidRPr="00C147E5">
        <w:rPr>
          <w:rFonts w:asciiTheme="minorHAnsi" w:hAnsiTheme="minorHAnsi" w:cstheme="minorHAnsi"/>
          <w:sz w:val="22"/>
          <w:szCs w:val="22"/>
        </w:rPr>
        <w:t xml:space="preserve"> </w:t>
      </w:r>
      <w:r w:rsidR="0022676D" w:rsidRPr="00C147E5">
        <w:rPr>
          <w:rFonts w:asciiTheme="minorHAnsi" w:hAnsiTheme="minorHAnsi" w:cstheme="minorHAnsi"/>
          <w:sz w:val="22"/>
          <w:szCs w:val="22"/>
        </w:rPr>
        <w:t>program</w:t>
      </w:r>
      <w:r w:rsidR="00B36964" w:rsidRPr="00C147E5">
        <w:rPr>
          <w:rFonts w:asciiTheme="minorHAnsi" w:hAnsiTheme="minorHAnsi" w:cstheme="minorHAnsi"/>
          <w:sz w:val="22"/>
          <w:szCs w:val="22"/>
        </w:rPr>
        <w:t>s</w:t>
      </w:r>
      <w:r w:rsidR="0022676D" w:rsidRPr="00C147E5">
        <w:rPr>
          <w:rFonts w:asciiTheme="minorHAnsi" w:hAnsiTheme="minorHAnsi" w:cstheme="minorHAnsi"/>
          <w:sz w:val="22"/>
          <w:szCs w:val="22"/>
        </w:rPr>
        <w:t xml:space="preserve"> </w:t>
      </w:r>
      <w:r w:rsidR="00B36964" w:rsidRPr="00C147E5">
        <w:rPr>
          <w:rFonts w:asciiTheme="minorHAnsi" w:hAnsiTheme="minorHAnsi" w:cstheme="minorHAnsi"/>
          <w:sz w:val="22"/>
          <w:szCs w:val="22"/>
        </w:rPr>
        <w:t xml:space="preserve">usually </w:t>
      </w:r>
      <w:r w:rsidR="0022676D" w:rsidRPr="00C147E5">
        <w:rPr>
          <w:rFonts w:asciiTheme="minorHAnsi" w:hAnsiTheme="minorHAnsi" w:cstheme="minorHAnsi"/>
          <w:sz w:val="22"/>
          <w:szCs w:val="22"/>
        </w:rPr>
        <w:t xml:space="preserve">require the </w:t>
      </w:r>
      <w:r w:rsidR="009C2ED0">
        <w:rPr>
          <w:rFonts w:asciiTheme="minorHAnsi" w:hAnsiTheme="minorHAnsi" w:cstheme="minorHAnsi"/>
          <w:sz w:val="22"/>
          <w:szCs w:val="22"/>
        </w:rPr>
        <w:t xml:space="preserve">Graduate Record Exam (G.R.E.) with the Analytical Writing portion.  </w:t>
      </w:r>
    </w:p>
    <w:p w:rsidR="00475042" w:rsidRPr="00C147E5" w:rsidRDefault="0022676D" w:rsidP="00C147E5">
      <w:pPr>
        <w:pStyle w:val="NormalWeb"/>
        <w:spacing w:before="0" w:beforeAutospacing="0" w:after="360" w:afterAutospacing="0"/>
        <w:ind w:left="720"/>
        <w:rPr>
          <w:rFonts w:asciiTheme="minorHAnsi" w:hAnsiTheme="minorHAnsi" w:cstheme="minorHAnsi"/>
          <w:sz w:val="22"/>
          <w:szCs w:val="22"/>
        </w:rPr>
      </w:pPr>
      <w:r w:rsidRPr="00DB1D64">
        <w:rPr>
          <w:rFonts w:asciiTheme="minorHAnsi" w:hAnsiTheme="minorHAnsi" w:cstheme="minorHAnsi"/>
          <w:sz w:val="22"/>
          <w:szCs w:val="22"/>
        </w:rPr>
        <w:t xml:space="preserve">Sitting for </w:t>
      </w:r>
      <w:r w:rsidRPr="00C147E5">
        <w:rPr>
          <w:rFonts w:asciiTheme="minorHAnsi" w:hAnsiTheme="minorHAnsi" w:cstheme="minorHAnsi"/>
          <w:sz w:val="22"/>
          <w:szCs w:val="22"/>
        </w:rPr>
        <w:t xml:space="preserve">the </w:t>
      </w:r>
      <w:r w:rsidR="009C2ED0">
        <w:rPr>
          <w:rFonts w:asciiTheme="minorHAnsi" w:hAnsiTheme="minorHAnsi" w:cstheme="minorHAnsi"/>
          <w:sz w:val="22"/>
          <w:szCs w:val="22"/>
        </w:rPr>
        <w:t>G.R.E. does not necessary require</w:t>
      </w:r>
      <w:r w:rsidRPr="00C147E5">
        <w:rPr>
          <w:rFonts w:asciiTheme="minorHAnsi" w:hAnsiTheme="minorHAnsi" w:cstheme="minorHAnsi"/>
          <w:sz w:val="22"/>
          <w:szCs w:val="22"/>
        </w:rPr>
        <w:t xml:space="preserve"> preparation.  </w:t>
      </w:r>
      <w:r w:rsidR="009C2ED0">
        <w:rPr>
          <w:rFonts w:asciiTheme="minorHAnsi" w:hAnsiTheme="minorHAnsi" w:cstheme="minorHAnsi"/>
          <w:sz w:val="22"/>
          <w:szCs w:val="22"/>
        </w:rPr>
        <w:t xml:space="preserve">However the taking of a short course, such as Kaplan and </w:t>
      </w:r>
      <w:r w:rsidR="009C2ED0" w:rsidRPr="00C147E5">
        <w:rPr>
          <w:rFonts w:asciiTheme="minorHAnsi" w:hAnsiTheme="minorHAnsi" w:cstheme="minorHAnsi"/>
          <w:sz w:val="22"/>
          <w:szCs w:val="22"/>
        </w:rPr>
        <w:t xml:space="preserve">Princeton </w:t>
      </w:r>
      <w:r w:rsidR="009C2ED0">
        <w:rPr>
          <w:rFonts w:asciiTheme="minorHAnsi" w:hAnsiTheme="minorHAnsi" w:cstheme="minorHAnsi"/>
          <w:sz w:val="22"/>
          <w:szCs w:val="22"/>
        </w:rPr>
        <w:t>Review, that provide reviews of test-taking strategies and banks of practice tests is strongly urged</w:t>
      </w:r>
      <w:r w:rsidRPr="00C147E5">
        <w:rPr>
          <w:rFonts w:asciiTheme="minorHAnsi" w:hAnsiTheme="minorHAnsi" w:cstheme="minorHAnsi"/>
          <w:sz w:val="22"/>
          <w:szCs w:val="22"/>
        </w:rPr>
        <w:t xml:space="preserve">.  </w:t>
      </w:r>
    </w:p>
    <w:p w:rsidR="0022676D" w:rsidRDefault="008E6937" w:rsidP="0022676D">
      <w:pPr>
        <w:pStyle w:val="ListParagraph"/>
        <w:numPr>
          <w:ilvl w:val="0"/>
          <w:numId w:val="1"/>
        </w:numPr>
        <w:spacing w:line="240" w:lineRule="auto"/>
        <w:rPr>
          <w:rFonts w:ascii="Calibri" w:hAnsi="Calibri"/>
        </w:rPr>
      </w:pPr>
      <w:r w:rsidRPr="00C147E5">
        <w:rPr>
          <w:rFonts w:cstheme="minorHAnsi"/>
          <w:b/>
        </w:rPr>
        <w:t>Experience: Internship, Shadowing and/or Work</w:t>
      </w:r>
      <w:r w:rsidRPr="00C147E5">
        <w:rPr>
          <w:rFonts w:cstheme="minorHAnsi"/>
        </w:rPr>
        <w:t xml:space="preserve">: A critical portion of the admissions process is the interview, often done on campus as part of an orientation and recruitment process.  Interview conversations often center of the nature of </w:t>
      </w:r>
      <w:r w:rsidR="00504131">
        <w:rPr>
          <w:rFonts w:cstheme="minorHAnsi"/>
        </w:rPr>
        <w:t>Veterinary</w:t>
      </w:r>
      <w:r w:rsidRPr="00C147E5">
        <w:rPr>
          <w:rFonts w:cstheme="minorHAnsi"/>
        </w:rPr>
        <w:t xml:space="preserve"> as a business and avocation.  It is universally agreed that these critical conversations re</w:t>
      </w:r>
      <w:r>
        <w:rPr>
          <w:rFonts w:ascii="Calibri" w:hAnsi="Calibri"/>
        </w:rPr>
        <w:t xml:space="preserve">quire a foundation in experience in the work environment of the professional.  A brief shadowing experience, a longer volunteer internship (for academic credit or not) or a longer-term paid staff position are ways for future </w:t>
      </w:r>
      <w:r w:rsidR="00504131">
        <w:rPr>
          <w:rFonts w:ascii="Calibri" w:hAnsi="Calibri"/>
        </w:rPr>
        <w:t>Veterinarians</w:t>
      </w:r>
      <w:r>
        <w:rPr>
          <w:rFonts w:ascii="Calibri" w:hAnsi="Calibri"/>
        </w:rPr>
        <w:t xml:space="preserve"> to gain invaluable experience in the working environment of modern </w:t>
      </w:r>
      <w:r w:rsidR="005F1859">
        <w:rPr>
          <w:rFonts w:ascii="Calibri" w:hAnsi="Calibri"/>
        </w:rPr>
        <w:t>animal care</w:t>
      </w:r>
      <w:r>
        <w:rPr>
          <w:rFonts w:ascii="Calibri" w:hAnsi="Calibri"/>
        </w:rPr>
        <w:t>.  In addition, it serves a g</w:t>
      </w:r>
      <w:r w:rsidR="005F1859">
        <w:rPr>
          <w:rFonts w:ascii="Calibri" w:hAnsi="Calibri"/>
        </w:rPr>
        <w:t>oal of giving the future Veterinary</w:t>
      </w:r>
      <w:r>
        <w:rPr>
          <w:rFonts w:ascii="Calibri" w:hAnsi="Calibri"/>
        </w:rPr>
        <w:t xml:space="preserve"> student a taste for the work environment they will experience through their professional career.  </w:t>
      </w:r>
    </w:p>
    <w:p w:rsidR="00034BD8" w:rsidRPr="00034BD8" w:rsidRDefault="00034BD8" w:rsidP="00034BD8">
      <w:pPr>
        <w:pStyle w:val="ListParagraph"/>
        <w:spacing w:line="240" w:lineRule="auto"/>
        <w:rPr>
          <w:rFonts w:ascii="Calibri" w:hAnsi="Calibri"/>
        </w:rPr>
      </w:pPr>
      <w:r>
        <w:rPr>
          <w:rFonts w:cstheme="minorHAnsi"/>
        </w:rPr>
        <w:t>Historically, students have worked (for pay) in local clinics or at home.  This work often includes working in the pets being boarded or groomed.  All these experience, whether for pay or not, are crucial steps in the development of a successful application.</w:t>
      </w:r>
    </w:p>
    <w:p w:rsidR="0059534E" w:rsidRDefault="0059534E" w:rsidP="0059534E">
      <w:pPr>
        <w:pStyle w:val="ListParagraph"/>
        <w:spacing w:line="240" w:lineRule="auto"/>
        <w:rPr>
          <w:rFonts w:ascii="Calibri" w:hAnsi="Calibri"/>
        </w:rPr>
      </w:pPr>
    </w:p>
    <w:p w:rsidR="0059534E" w:rsidRDefault="0059534E" w:rsidP="0059534E">
      <w:pPr>
        <w:pStyle w:val="ListParagraph"/>
        <w:numPr>
          <w:ilvl w:val="0"/>
          <w:numId w:val="1"/>
        </w:numPr>
        <w:spacing w:line="240" w:lineRule="auto"/>
        <w:rPr>
          <w:rFonts w:ascii="Calibri" w:hAnsi="Calibri"/>
        </w:rPr>
      </w:pPr>
      <w:r>
        <w:rPr>
          <w:rFonts w:ascii="Calibri" w:hAnsi="Calibri"/>
          <w:b/>
        </w:rPr>
        <w:t>Letters of Reference</w:t>
      </w:r>
      <w:r w:rsidR="00AC539F">
        <w:rPr>
          <w:rFonts w:ascii="Calibri" w:hAnsi="Calibri"/>
          <w:b/>
        </w:rPr>
        <w:t xml:space="preserve"> (LORs)</w:t>
      </w:r>
      <w:r>
        <w:rPr>
          <w:rFonts w:ascii="Calibri" w:hAnsi="Calibri"/>
        </w:rPr>
        <w:t>: Internships, shadowing and/or work experience also provides the opportunity</w:t>
      </w:r>
      <w:r w:rsidR="0099784C">
        <w:rPr>
          <w:rFonts w:ascii="Calibri" w:hAnsi="Calibri"/>
        </w:rPr>
        <w:t xml:space="preserve"> for a Healthcare practitioner </w:t>
      </w:r>
      <w:r>
        <w:rPr>
          <w:rFonts w:ascii="Calibri" w:hAnsi="Calibri"/>
        </w:rPr>
        <w:t xml:space="preserve">to provide extensive and substantive comments of your professional initiative, demeanor and abilities in the form a “letter of reference” required for </w:t>
      </w:r>
      <w:r w:rsidR="00034BD8">
        <w:rPr>
          <w:rFonts w:ascii="Calibri" w:hAnsi="Calibri"/>
        </w:rPr>
        <w:t>Veterinary</w:t>
      </w:r>
      <w:r>
        <w:rPr>
          <w:rFonts w:ascii="Calibri" w:hAnsi="Calibri"/>
        </w:rPr>
        <w:t xml:space="preserve"> school applications.  The more in-depth their experience with you, the more in-depth and supportive of your desire to enter medical school will be their letter.  </w:t>
      </w:r>
    </w:p>
    <w:p w:rsidR="00B57A03" w:rsidRDefault="0059534E" w:rsidP="0059534E">
      <w:pPr>
        <w:pStyle w:val="ListParagraph"/>
        <w:rPr>
          <w:rFonts w:ascii="Calibri" w:hAnsi="Calibri"/>
        </w:rPr>
      </w:pPr>
      <w:r>
        <w:rPr>
          <w:rFonts w:ascii="Calibri" w:hAnsi="Calibri"/>
        </w:rPr>
        <w:t>Typically, program</w:t>
      </w:r>
      <w:r w:rsidR="0099784C">
        <w:rPr>
          <w:rFonts w:ascii="Calibri" w:hAnsi="Calibri"/>
        </w:rPr>
        <w:t>s</w:t>
      </w:r>
      <w:r>
        <w:rPr>
          <w:rFonts w:ascii="Calibri" w:hAnsi="Calibri"/>
        </w:rPr>
        <w:t xml:space="preserve"> solicit up to 5 letters of reference that can include course instructors (such as professors), </w:t>
      </w:r>
      <w:r w:rsidR="00034BD8">
        <w:rPr>
          <w:rFonts w:ascii="Calibri" w:hAnsi="Calibri"/>
        </w:rPr>
        <w:t>Veterinary</w:t>
      </w:r>
      <w:r>
        <w:rPr>
          <w:rFonts w:ascii="Calibri" w:hAnsi="Calibri"/>
        </w:rPr>
        <w:t xml:space="preserve"> </w:t>
      </w:r>
      <w:r w:rsidR="00C60493">
        <w:rPr>
          <w:rFonts w:ascii="Calibri" w:hAnsi="Calibri"/>
        </w:rPr>
        <w:t>professionals</w:t>
      </w:r>
      <w:r>
        <w:rPr>
          <w:rFonts w:ascii="Calibri" w:hAnsi="Calibri"/>
        </w:rPr>
        <w:t xml:space="preserve"> familiar with your interests and promise, work supervisors and character witnesses.  </w:t>
      </w:r>
    </w:p>
    <w:p w:rsidR="0059534E" w:rsidRPr="00C60493" w:rsidRDefault="0059534E" w:rsidP="0059534E">
      <w:pPr>
        <w:pStyle w:val="ListParagraph"/>
        <w:rPr>
          <w:rFonts w:cstheme="minorHAnsi"/>
        </w:rPr>
      </w:pPr>
      <w:r>
        <w:rPr>
          <w:rFonts w:ascii="Calibri" w:hAnsi="Calibri"/>
        </w:rPr>
        <w:t xml:space="preserve">With respect to the former (Professors), </w:t>
      </w:r>
      <w:r w:rsidR="00B57A03">
        <w:rPr>
          <w:rFonts w:ascii="Calibri" w:hAnsi="Calibri"/>
        </w:rPr>
        <w:t xml:space="preserve">students often ask Oglethorpe Professors for letters.  Unlike larger Universities </w:t>
      </w:r>
      <w:r w:rsidR="00B57A03" w:rsidRPr="00C60493">
        <w:rPr>
          <w:rFonts w:cstheme="minorHAnsi"/>
        </w:rPr>
        <w:t xml:space="preserve">that formulate a consensus “Pre-Health Committee” letter, Oglethorpe University instructors write individual letters tailored for each applicant.  </w:t>
      </w:r>
      <w:r w:rsidR="00AE0D9E" w:rsidRPr="00C60493">
        <w:rPr>
          <w:rFonts w:cstheme="minorHAnsi"/>
        </w:rPr>
        <w:t xml:space="preserve">The small class sizes and close and extensive interactions between instructors and students means letters can be honest, extensive and rich in detail and anecdotes- exactly what </w:t>
      </w:r>
      <w:r w:rsidR="00721D52">
        <w:rPr>
          <w:rFonts w:cstheme="minorHAnsi"/>
        </w:rPr>
        <w:t>Veterinary</w:t>
      </w:r>
      <w:r w:rsidR="00AE0D9E" w:rsidRPr="00C60493">
        <w:rPr>
          <w:rFonts w:cstheme="minorHAnsi"/>
        </w:rPr>
        <w:t xml:space="preserve"> school admissions committees are looking for.  Students are encourage to cultivate a positive and productive relationship with each of their instructors in anticipation of asking for an honest (and confidential) evaluation of their academic abilities and promise for success in the </w:t>
      </w:r>
      <w:r w:rsidR="00297F04">
        <w:rPr>
          <w:rFonts w:cstheme="minorHAnsi"/>
        </w:rPr>
        <w:t>Veterinary</w:t>
      </w:r>
      <w:r w:rsidR="00AE0D9E" w:rsidRPr="00C60493">
        <w:rPr>
          <w:rFonts w:cstheme="minorHAnsi"/>
        </w:rPr>
        <w:t xml:space="preserve"> sciences.</w:t>
      </w:r>
    </w:p>
    <w:p w:rsidR="00C60493" w:rsidRPr="00C60493" w:rsidRDefault="00C60493" w:rsidP="0059534E">
      <w:pPr>
        <w:pStyle w:val="ListParagraph"/>
        <w:rPr>
          <w:rFonts w:cstheme="minorHAnsi"/>
        </w:rPr>
      </w:pPr>
    </w:p>
    <w:p w:rsidR="00C60493" w:rsidRPr="00C60493" w:rsidRDefault="00C60493" w:rsidP="00DE067F">
      <w:pPr>
        <w:pStyle w:val="ListParagraph"/>
        <w:numPr>
          <w:ilvl w:val="0"/>
          <w:numId w:val="1"/>
        </w:numPr>
        <w:rPr>
          <w:rFonts w:cstheme="minorHAnsi"/>
        </w:rPr>
      </w:pPr>
      <w:r w:rsidRPr="00C60493">
        <w:rPr>
          <w:rFonts w:cstheme="minorHAnsi"/>
          <w:b/>
        </w:rPr>
        <w:t>AADSAS</w:t>
      </w:r>
      <w:r w:rsidR="00DE067F">
        <w:rPr>
          <w:rFonts w:cstheme="minorHAnsi"/>
          <w:b/>
        </w:rPr>
        <w:t xml:space="preserve"> </w:t>
      </w:r>
      <w:r w:rsidR="00DE067F" w:rsidRPr="00AB41BB">
        <w:rPr>
          <w:rFonts w:cstheme="minorHAnsi"/>
          <w:b/>
        </w:rPr>
        <w:t>(</w:t>
      </w:r>
      <w:r w:rsidR="00DE067F" w:rsidRPr="00AB41BB">
        <w:rPr>
          <w:rStyle w:val="Hyperlink"/>
          <w:rFonts w:cstheme="minorHAnsi"/>
          <w:b/>
          <w:color w:val="auto"/>
        </w:rPr>
        <w:t>http://www.adea.org/GoDental/</w:t>
      </w:r>
      <w:r w:rsidR="00AB41BB">
        <w:rPr>
          <w:rStyle w:val="Hyperlink"/>
          <w:rFonts w:cstheme="minorHAnsi"/>
          <w:b/>
          <w:color w:val="auto"/>
        </w:rPr>
        <w:t>Future_Dentists/ADEA_AADSAS</w:t>
      </w:r>
      <w:r w:rsidR="00DE067F">
        <w:rPr>
          <w:rFonts w:cstheme="minorHAnsi"/>
          <w:b/>
        </w:rPr>
        <w:t>)</w:t>
      </w:r>
      <w:r w:rsidRPr="00C60493">
        <w:rPr>
          <w:rFonts w:cstheme="minorHAnsi"/>
        </w:rPr>
        <w:t xml:space="preserve">: </w:t>
      </w:r>
      <w:r w:rsidRPr="00C60493">
        <w:rPr>
          <w:rFonts w:cstheme="minorHAnsi"/>
          <w:color w:val="222222"/>
          <w:shd w:val="clear" w:color="auto" w:fill="FFFFFF"/>
        </w:rPr>
        <w:t>The ADEA Associated American Dental Schools</w:t>
      </w:r>
      <w:r>
        <w:rPr>
          <w:rFonts w:cstheme="minorHAnsi"/>
          <w:color w:val="222222"/>
          <w:shd w:val="clear" w:color="auto" w:fill="FFFFFF"/>
        </w:rPr>
        <w:t xml:space="preserve"> </w:t>
      </w:r>
      <w:r w:rsidRPr="00C60493">
        <w:rPr>
          <w:rFonts w:cstheme="minorHAnsi"/>
          <w:bCs/>
          <w:color w:val="222222"/>
          <w:shd w:val="clear" w:color="auto" w:fill="FFFFFF"/>
        </w:rPr>
        <w:t>Application</w:t>
      </w:r>
      <w:r w:rsidRPr="00C60493">
        <w:rPr>
          <w:rFonts w:cstheme="minorHAnsi"/>
          <w:color w:val="222222"/>
          <w:shd w:val="clear" w:color="auto" w:fill="FFFFFF"/>
        </w:rPr>
        <w:t> Service (ADEA </w:t>
      </w:r>
      <w:r w:rsidRPr="00C60493">
        <w:rPr>
          <w:rFonts w:cstheme="minorHAnsi"/>
          <w:bCs/>
          <w:color w:val="222222"/>
          <w:shd w:val="clear" w:color="auto" w:fill="FFFFFF"/>
        </w:rPr>
        <w:t>AADSAS</w:t>
      </w:r>
      <w:r w:rsidR="00DE067F">
        <w:rPr>
          <w:rFonts w:cstheme="minorHAnsi"/>
          <w:color w:val="222222"/>
          <w:shd w:val="clear" w:color="auto" w:fill="FFFFFF"/>
        </w:rPr>
        <w:t xml:space="preserve">) is the </w:t>
      </w:r>
      <w:r w:rsidRPr="00C60493">
        <w:rPr>
          <w:rFonts w:cstheme="minorHAnsi"/>
          <w:color w:val="222222"/>
          <w:shd w:val="clear" w:color="auto" w:fill="FFFFFF"/>
        </w:rPr>
        <w:t>centralized </w:t>
      </w:r>
      <w:r w:rsidRPr="00C60493">
        <w:rPr>
          <w:rFonts w:cstheme="minorHAnsi"/>
          <w:bCs/>
          <w:color w:val="222222"/>
          <w:shd w:val="clear" w:color="auto" w:fill="FFFFFF"/>
        </w:rPr>
        <w:t>application</w:t>
      </w:r>
      <w:r w:rsidRPr="00C60493">
        <w:rPr>
          <w:rFonts w:cstheme="minorHAnsi"/>
          <w:color w:val="222222"/>
          <w:shd w:val="clear" w:color="auto" w:fill="FFFFFF"/>
        </w:rPr>
        <w:t> service for most U.S. dental schools. ADEA </w:t>
      </w:r>
      <w:r w:rsidRPr="00C60493">
        <w:rPr>
          <w:rFonts w:cstheme="minorHAnsi"/>
          <w:bCs/>
          <w:color w:val="222222"/>
          <w:shd w:val="clear" w:color="auto" w:fill="FFFFFF"/>
        </w:rPr>
        <w:t>AADSAS</w:t>
      </w:r>
      <w:r w:rsidRPr="00C60493">
        <w:rPr>
          <w:rFonts w:cstheme="minorHAnsi"/>
          <w:color w:val="222222"/>
          <w:shd w:val="clear" w:color="auto" w:fill="FFFFFF"/>
        </w:rPr>
        <w:t> simplifies the </w:t>
      </w:r>
      <w:r w:rsidRPr="00C60493">
        <w:rPr>
          <w:rFonts w:cstheme="minorHAnsi"/>
          <w:bCs/>
          <w:color w:val="222222"/>
          <w:shd w:val="clear" w:color="auto" w:fill="FFFFFF"/>
        </w:rPr>
        <w:t>application</w:t>
      </w:r>
      <w:r>
        <w:rPr>
          <w:rFonts w:cstheme="minorHAnsi"/>
          <w:b/>
          <w:bCs/>
          <w:color w:val="222222"/>
          <w:shd w:val="clear" w:color="auto" w:fill="FFFFFF"/>
        </w:rPr>
        <w:t xml:space="preserve"> </w:t>
      </w:r>
      <w:r w:rsidRPr="00C60493">
        <w:rPr>
          <w:rFonts w:cstheme="minorHAnsi"/>
          <w:color w:val="222222"/>
          <w:shd w:val="clear" w:color="auto" w:fill="FFFFFF"/>
        </w:rPr>
        <w:t>process by allowing applicants to complete one standardized </w:t>
      </w:r>
      <w:r w:rsidRPr="00C60493">
        <w:rPr>
          <w:rFonts w:cstheme="minorHAnsi"/>
          <w:bCs/>
          <w:color w:val="222222"/>
          <w:shd w:val="clear" w:color="auto" w:fill="FFFFFF"/>
        </w:rPr>
        <w:t>application</w:t>
      </w:r>
      <w:r w:rsidRPr="00C60493">
        <w:rPr>
          <w:rFonts w:cstheme="minorHAnsi"/>
          <w:color w:val="222222"/>
          <w:shd w:val="clear" w:color="auto" w:fill="FFFFFF"/>
        </w:rPr>
        <w:t> rather than fill out multiple</w:t>
      </w:r>
      <w:r>
        <w:rPr>
          <w:rFonts w:cstheme="minorHAnsi"/>
          <w:color w:val="222222"/>
          <w:shd w:val="clear" w:color="auto" w:fill="FFFFFF"/>
        </w:rPr>
        <w:t xml:space="preserve"> </w:t>
      </w:r>
      <w:r w:rsidRPr="00C60493">
        <w:rPr>
          <w:rFonts w:cstheme="minorHAnsi"/>
          <w:bCs/>
          <w:color w:val="222222"/>
          <w:shd w:val="clear" w:color="auto" w:fill="FFFFFF"/>
        </w:rPr>
        <w:t>applications</w:t>
      </w:r>
      <w:r w:rsidRPr="00C60493">
        <w:rPr>
          <w:rFonts w:cstheme="minorHAnsi"/>
          <w:color w:val="222222"/>
          <w:shd w:val="clear" w:color="auto" w:fill="FFFFFF"/>
        </w:rPr>
        <w:t>.</w:t>
      </w:r>
      <w:r>
        <w:rPr>
          <w:rFonts w:cstheme="minorHAnsi"/>
        </w:rPr>
        <w:t xml:space="preserve">  The service opens for the generation of applicant accounts and for the acceptance of data on July 1</w:t>
      </w:r>
      <w:r w:rsidRPr="00C60493">
        <w:rPr>
          <w:rFonts w:cstheme="minorHAnsi"/>
          <w:vertAlign w:val="superscript"/>
        </w:rPr>
        <w:t>st</w:t>
      </w:r>
      <w:r>
        <w:rPr>
          <w:rFonts w:cstheme="minorHAnsi"/>
        </w:rPr>
        <w:t xml:space="preserve"> of every application cycle.  The site calculates applicant GPAs in a standardized format, organizes the acceptance and distribution of Letters of Recommendation (LORs), </w:t>
      </w:r>
      <w:r w:rsidR="007B0FBB">
        <w:rPr>
          <w:rFonts w:cstheme="minorHAnsi"/>
        </w:rPr>
        <w:t xml:space="preserve">and </w:t>
      </w:r>
      <w:r w:rsidR="00DE067F">
        <w:rPr>
          <w:rFonts w:cstheme="minorHAnsi"/>
        </w:rPr>
        <w:t xml:space="preserve">the distribution of </w:t>
      </w:r>
      <w:r w:rsidR="007B0FBB">
        <w:rPr>
          <w:rFonts w:cstheme="minorHAnsi"/>
        </w:rPr>
        <w:t>material</w:t>
      </w:r>
      <w:r w:rsidR="00DE067F">
        <w:rPr>
          <w:rFonts w:cstheme="minorHAnsi"/>
        </w:rPr>
        <w:t>s</w:t>
      </w:r>
      <w:r w:rsidR="007B0FBB">
        <w:rPr>
          <w:rFonts w:cstheme="minorHAnsi"/>
        </w:rPr>
        <w:t xml:space="preserve"> to programs.  </w:t>
      </w:r>
    </w:p>
    <w:p w:rsidR="00AE2BFD" w:rsidRDefault="00AE2BFD" w:rsidP="0059534E">
      <w:pPr>
        <w:pStyle w:val="ListParagraph"/>
        <w:spacing w:line="240" w:lineRule="auto"/>
        <w:rPr>
          <w:rFonts w:ascii="Calibri" w:hAnsi="Calibri"/>
        </w:rPr>
      </w:pPr>
    </w:p>
    <w:p w:rsidR="00AE2BFD" w:rsidRDefault="006047EF" w:rsidP="00AE2BFD">
      <w:pPr>
        <w:pStyle w:val="ListParagraph"/>
        <w:spacing w:line="240" w:lineRule="auto"/>
        <w:ind w:left="0"/>
        <w:rPr>
          <w:rFonts w:ascii="Calibri" w:hAnsi="Calibri"/>
          <w:b/>
        </w:rPr>
      </w:pPr>
      <w:r>
        <w:rPr>
          <w:rFonts w:ascii="Calibri" w:hAnsi="Calibri"/>
          <w:b/>
        </w:rPr>
        <w:t>For Further Reading</w:t>
      </w:r>
      <w:r w:rsidR="00AE2BFD">
        <w:rPr>
          <w:rFonts w:ascii="Calibri" w:hAnsi="Calibri"/>
          <w:b/>
        </w:rPr>
        <w:t>:</w:t>
      </w:r>
    </w:p>
    <w:p w:rsidR="00AA7822" w:rsidRDefault="00AA7822" w:rsidP="00AE2BFD">
      <w:pPr>
        <w:pStyle w:val="ListParagraph"/>
        <w:spacing w:line="240" w:lineRule="auto"/>
        <w:ind w:left="0"/>
        <w:rPr>
          <w:rFonts w:ascii="Calibri" w:hAnsi="Calibri"/>
          <w:b/>
        </w:rPr>
      </w:pPr>
    </w:p>
    <w:p w:rsidR="00AA7822" w:rsidRPr="00AA7822" w:rsidRDefault="00AA7822" w:rsidP="00AE2BFD">
      <w:pPr>
        <w:pStyle w:val="ListParagraph"/>
        <w:spacing w:line="240" w:lineRule="auto"/>
        <w:ind w:left="0"/>
        <w:rPr>
          <w:rFonts w:ascii="Calibri" w:hAnsi="Calibri"/>
        </w:rPr>
      </w:pPr>
      <w:r>
        <w:rPr>
          <w:rFonts w:ascii="Calibri" w:hAnsi="Calibri"/>
        </w:rPr>
        <w:t xml:space="preserve">The BEST place to start—“Explore Health Careers”: </w:t>
      </w:r>
      <w:hyperlink r:id="rId6" w:history="1">
        <w:r w:rsidRPr="00F6659B">
          <w:rPr>
            <w:rStyle w:val="Hyperlink"/>
            <w:rFonts w:ascii="Calibri" w:hAnsi="Calibri"/>
          </w:rPr>
          <w:t>https://explorehealthcareers.org/</w:t>
        </w:r>
      </w:hyperlink>
      <w:r>
        <w:rPr>
          <w:rFonts w:ascii="Calibri" w:hAnsi="Calibri"/>
        </w:rPr>
        <w:t xml:space="preserve"> </w:t>
      </w:r>
    </w:p>
    <w:p w:rsidR="00AA7822" w:rsidRDefault="00AA7822" w:rsidP="00AE2BFD">
      <w:pPr>
        <w:pStyle w:val="ListParagraph"/>
        <w:spacing w:line="240" w:lineRule="auto"/>
        <w:ind w:left="0"/>
        <w:rPr>
          <w:rFonts w:ascii="Calibri" w:hAnsi="Calibri"/>
        </w:rPr>
      </w:pPr>
    </w:p>
    <w:p w:rsidR="00AE2BFD" w:rsidRDefault="00AE2BFD" w:rsidP="00CB7021">
      <w:pPr>
        <w:pStyle w:val="ListParagraph"/>
        <w:spacing w:line="240" w:lineRule="auto"/>
        <w:ind w:left="360" w:hanging="360"/>
        <w:rPr>
          <w:rFonts w:ascii="Calibri" w:hAnsi="Calibri"/>
        </w:rPr>
      </w:pPr>
      <w:r>
        <w:rPr>
          <w:rFonts w:ascii="Calibri" w:hAnsi="Calibri"/>
        </w:rPr>
        <w:lastRenderedPageBreak/>
        <w:t>“</w:t>
      </w:r>
      <w:r w:rsidR="0099784C">
        <w:rPr>
          <w:rFonts w:ascii="Calibri" w:hAnsi="Calibri"/>
        </w:rPr>
        <w:t>Dental Admissions Test</w:t>
      </w:r>
      <w:r>
        <w:rPr>
          <w:rFonts w:ascii="Calibri" w:hAnsi="Calibri"/>
        </w:rPr>
        <w:t xml:space="preserve">”: </w:t>
      </w:r>
      <w:hyperlink r:id="rId7" w:history="1">
        <w:r w:rsidR="0099784C" w:rsidRPr="00370E88">
          <w:rPr>
            <w:rStyle w:val="Hyperlink"/>
            <w:rFonts w:ascii="Calibri" w:hAnsi="Calibri"/>
          </w:rPr>
          <w:t>http://www.ada.org/dat.aspx</w:t>
        </w:r>
      </w:hyperlink>
      <w:r w:rsidR="006C6488">
        <w:rPr>
          <w:rFonts w:ascii="Calibri" w:hAnsi="Calibri"/>
        </w:rPr>
        <w:t xml:space="preserve"> </w:t>
      </w:r>
    </w:p>
    <w:p w:rsidR="00F63778" w:rsidRDefault="00F63778" w:rsidP="00AE2BFD">
      <w:pPr>
        <w:pStyle w:val="ListParagraph"/>
        <w:spacing w:line="240" w:lineRule="auto"/>
        <w:ind w:left="0"/>
        <w:rPr>
          <w:rFonts w:ascii="Calibri" w:hAnsi="Calibri"/>
        </w:rPr>
      </w:pPr>
      <w:r>
        <w:rPr>
          <w:rFonts w:ascii="Calibri" w:hAnsi="Calibri"/>
        </w:rPr>
        <w:t>“</w:t>
      </w:r>
      <w:r w:rsidR="0099784C">
        <w:rPr>
          <w:rFonts w:ascii="Calibri" w:hAnsi="Calibri"/>
        </w:rPr>
        <w:t>Assoicated American Dental Schools Application Service: AADSAS</w:t>
      </w:r>
      <w:r>
        <w:rPr>
          <w:rFonts w:ascii="Calibri" w:hAnsi="Calibri"/>
        </w:rPr>
        <w:t xml:space="preserve">”: </w:t>
      </w:r>
      <w:hyperlink r:id="rId8" w:history="1">
        <w:r w:rsidR="0099784C" w:rsidRPr="00370E88">
          <w:rPr>
            <w:rStyle w:val="Hyperlink"/>
            <w:rFonts w:ascii="Calibri" w:hAnsi="Calibri"/>
          </w:rPr>
          <w:t>http://www.adea.org/GoDental/The_application_to_dental_school__ADEA_AADSAS.aspx</w:t>
        </w:r>
      </w:hyperlink>
      <w:r w:rsidR="0099784C">
        <w:rPr>
          <w:rFonts w:ascii="Calibri" w:hAnsi="Calibri"/>
        </w:rPr>
        <w:t xml:space="preserve">  </w:t>
      </w:r>
      <w:r w:rsidR="00AA7822">
        <w:rPr>
          <w:rFonts w:ascii="Calibri" w:hAnsi="Calibri"/>
        </w:rPr>
        <w:t xml:space="preserve"> </w:t>
      </w:r>
    </w:p>
    <w:p w:rsidR="006C6488" w:rsidRDefault="00E622BA" w:rsidP="00AE2BFD">
      <w:pPr>
        <w:pStyle w:val="ListParagraph"/>
        <w:spacing w:line="240" w:lineRule="auto"/>
        <w:ind w:left="0"/>
        <w:rPr>
          <w:rFonts w:ascii="Calibri" w:hAnsi="Calibri"/>
        </w:rPr>
      </w:pPr>
      <w:r>
        <w:rPr>
          <w:rFonts w:ascii="Calibri" w:hAnsi="Calibri"/>
        </w:rPr>
        <w:t xml:space="preserve">“ADEA Go Dental”: </w:t>
      </w:r>
      <w:hyperlink r:id="rId9" w:history="1">
        <w:r w:rsidRPr="00370E88">
          <w:rPr>
            <w:rStyle w:val="Hyperlink"/>
            <w:rFonts w:ascii="Calibri" w:hAnsi="Calibri"/>
          </w:rPr>
          <w:t>http://www.adea.org/GoDental/</w:t>
        </w:r>
      </w:hyperlink>
      <w:r>
        <w:rPr>
          <w:rFonts w:ascii="Calibri" w:hAnsi="Calibri"/>
        </w:rPr>
        <w:t xml:space="preserve"> </w:t>
      </w:r>
    </w:p>
    <w:p w:rsidR="006C6488" w:rsidRPr="00AE2BFD" w:rsidRDefault="006C6488" w:rsidP="00AE2BFD">
      <w:pPr>
        <w:pStyle w:val="ListParagraph"/>
        <w:spacing w:line="240" w:lineRule="auto"/>
        <w:ind w:left="0"/>
        <w:rPr>
          <w:rFonts w:ascii="Calibri" w:hAnsi="Calibri"/>
        </w:rPr>
      </w:pPr>
    </w:p>
    <w:sectPr w:rsidR="006C6488" w:rsidRPr="00AE2BFD" w:rsidSect="00837792">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05AB8"/>
    <w:multiLevelType w:val="hybridMultilevel"/>
    <w:tmpl w:val="2C4CB574"/>
    <w:lvl w:ilvl="0" w:tplc="9AA418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B1E"/>
    <w:rsid w:val="00034611"/>
    <w:rsid w:val="00034BD8"/>
    <w:rsid w:val="00037841"/>
    <w:rsid w:val="000432CA"/>
    <w:rsid w:val="0005136E"/>
    <w:rsid w:val="000715E6"/>
    <w:rsid w:val="00095B26"/>
    <w:rsid w:val="000C4C31"/>
    <w:rsid w:val="00153C2C"/>
    <w:rsid w:val="001575A6"/>
    <w:rsid w:val="00195ECF"/>
    <w:rsid w:val="001E2C7C"/>
    <w:rsid w:val="00210B7C"/>
    <w:rsid w:val="0022676D"/>
    <w:rsid w:val="00235498"/>
    <w:rsid w:val="00297F04"/>
    <w:rsid w:val="002A3A34"/>
    <w:rsid w:val="0035203B"/>
    <w:rsid w:val="00361191"/>
    <w:rsid w:val="0038492D"/>
    <w:rsid w:val="00422E0D"/>
    <w:rsid w:val="00440126"/>
    <w:rsid w:val="00473B1E"/>
    <w:rsid w:val="00475042"/>
    <w:rsid w:val="004763F5"/>
    <w:rsid w:val="004771CF"/>
    <w:rsid w:val="00483CBC"/>
    <w:rsid w:val="004A11E3"/>
    <w:rsid w:val="004A7161"/>
    <w:rsid w:val="004E2827"/>
    <w:rsid w:val="00504131"/>
    <w:rsid w:val="0053385C"/>
    <w:rsid w:val="00550FD5"/>
    <w:rsid w:val="0058003F"/>
    <w:rsid w:val="0059534E"/>
    <w:rsid w:val="005F1859"/>
    <w:rsid w:val="006047EF"/>
    <w:rsid w:val="006144A6"/>
    <w:rsid w:val="00631977"/>
    <w:rsid w:val="006916C3"/>
    <w:rsid w:val="006B1243"/>
    <w:rsid w:val="006C0008"/>
    <w:rsid w:val="006C6488"/>
    <w:rsid w:val="006F163C"/>
    <w:rsid w:val="006F7C0D"/>
    <w:rsid w:val="00721D52"/>
    <w:rsid w:val="00735D47"/>
    <w:rsid w:val="0078766A"/>
    <w:rsid w:val="007A2C4E"/>
    <w:rsid w:val="007B0FBB"/>
    <w:rsid w:val="00806BFA"/>
    <w:rsid w:val="00807B53"/>
    <w:rsid w:val="00837792"/>
    <w:rsid w:val="0088475D"/>
    <w:rsid w:val="008C361F"/>
    <w:rsid w:val="008C3624"/>
    <w:rsid w:val="008C5242"/>
    <w:rsid w:val="008E6937"/>
    <w:rsid w:val="008F66E4"/>
    <w:rsid w:val="00904BDE"/>
    <w:rsid w:val="00970873"/>
    <w:rsid w:val="00981043"/>
    <w:rsid w:val="0099784C"/>
    <w:rsid w:val="009C19C1"/>
    <w:rsid w:val="009C2ED0"/>
    <w:rsid w:val="009F7EAA"/>
    <w:rsid w:val="00AA7822"/>
    <w:rsid w:val="00AB41BB"/>
    <w:rsid w:val="00AC4244"/>
    <w:rsid w:val="00AC539F"/>
    <w:rsid w:val="00AE0D9E"/>
    <w:rsid w:val="00AE2BFD"/>
    <w:rsid w:val="00AF26BB"/>
    <w:rsid w:val="00B152F5"/>
    <w:rsid w:val="00B331D0"/>
    <w:rsid w:val="00B36964"/>
    <w:rsid w:val="00B52019"/>
    <w:rsid w:val="00B57A03"/>
    <w:rsid w:val="00B65CDE"/>
    <w:rsid w:val="00BE7917"/>
    <w:rsid w:val="00C01408"/>
    <w:rsid w:val="00C0157E"/>
    <w:rsid w:val="00C11E38"/>
    <w:rsid w:val="00C147E5"/>
    <w:rsid w:val="00C60493"/>
    <w:rsid w:val="00C84750"/>
    <w:rsid w:val="00CB62B7"/>
    <w:rsid w:val="00CB7021"/>
    <w:rsid w:val="00CC396B"/>
    <w:rsid w:val="00CD00F1"/>
    <w:rsid w:val="00CE698A"/>
    <w:rsid w:val="00D01CB9"/>
    <w:rsid w:val="00D021AE"/>
    <w:rsid w:val="00D03006"/>
    <w:rsid w:val="00D33811"/>
    <w:rsid w:val="00D41A05"/>
    <w:rsid w:val="00D65859"/>
    <w:rsid w:val="00D802CB"/>
    <w:rsid w:val="00DB1D64"/>
    <w:rsid w:val="00DC0F32"/>
    <w:rsid w:val="00DD639E"/>
    <w:rsid w:val="00DE067F"/>
    <w:rsid w:val="00DF0B14"/>
    <w:rsid w:val="00E147AA"/>
    <w:rsid w:val="00E515DB"/>
    <w:rsid w:val="00E57AF7"/>
    <w:rsid w:val="00E61790"/>
    <w:rsid w:val="00E622BA"/>
    <w:rsid w:val="00E9184A"/>
    <w:rsid w:val="00EA5F0A"/>
    <w:rsid w:val="00EB11E3"/>
    <w:rsid w:val="00F44C4E"/>
    <w:rsid w:val="00F63778"/>
    <w:rsid w:val="00F74413"/>
    <w:rsid w:val="00FA57B8"/>
    <w:rsid w:val="00FB06C9"/>
    <w:rsid w:val="00FC3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E9D60"/>
  <w15:chartTrackingRefBased/>
  <w15:docId w15:val="{3CB9FF73-2571-4BC7-8563-65940FF3A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F32"/>
    <w:pPr>
      <w:ind w:left="720"/>
      <w:contextualSpacing/>
    </w:pPr>
  </w:style>
  <w:style w:type="character" w:styleId="Hyperlink">
    <w:name w:val="Hyperlink"/>
    <w:basedOn w:val="DefaultParagraphFont"/>
    <w:uiPriority w:val="99"/>
    <w:unhideWhenUsed/>
    <w:rsid w:val="006C6488"/>
    <w:rPr>
      <w:color w:val="0563C1" w:themeColor="hyperlink"/>
      <w:u w:val="single"/>
    </w:rPr>
  </w:style>
  <w:style w:type="paragraph" w:styleId="NormalWeb">
    <w:name w:val="Normal (Web)"/>
    <w:basedOn w:val="Normal"/>
    <w:uiPriority w:val="99"/>
    <w:unhideWhenUsed/>
    <w:rsid w:val="00E6179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978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505104">
      <w:bodyDiv w:val="1"/>
      <w:marLeft w:val="0"/>
      <w:marRight w:val="0"/>
      <w:marTop w:val="0"/>
      <w:marBottom w:val="0"/>
      <w:divBdr>
        <w:top w:val="none" w:sz="0" w:space="0" w:color="auto"/>
        <w:left w:val="none" w:sz="0" w:space="0" w:color="auto"/>
        <w:bottom w:val="none" w:sz="0" w:space="0" w:color="auto"/>
        <w:right w:val="none" w:sz="0" w:space="0" w:color="auto"/>
      </w:divBdr>
    </w:div>
    <w:div w:id="141296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ea.org/GoDental/The_application_to_dental_school__ADEA_AADSAS.aspx" TargetMode="External"/><Relationship Id="rId3" Type="http://schemas.openxmlformats.org/officeDocument/2006/relationships/settings" Target="settings.xml"/><Relationship Id="rId7" Type="http://schemas.openxmlformats.org/officeDocument/2006/relationships/hyperlink" Target="http://www.ada.org/da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plorehealthcareers.org/" TargetMode="External"/><Relationship Id="rId11" Type="http://schemas.openxmlformats.org/officeDocument/2006/relationships/theme" Target="theme/theme1.xml"/><Relationship Id="rId5" Type="http://schemas.openxmlformats.org/officeDocument/2006/relationships/hyperlink" Target="https://www.aacp.org/resource/pharmacy-college-admission-tes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ea.org/GoDen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1635</Words>
  <Characters>9324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Oglethorpe University</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Baube, Charles</dc:creator>
  <cp:keywords/>
  <dc:description/>
  <cp:lastModifiedBy>Baube, Charles</cp:lastModifiedBy>
  <cp:revision>21</cp:revision>
  <dcterms:created xsi:type="dcterms:W3CDTF">2018-09-24T18:49:00Z</dcterms:created>
  <dcterms:modified xsi:type="dcterms:W3CDTF">2018-09-24T19:48:00Z</dcterms:modified>
</cp:coreProperties>
</file>